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9453A9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r w:rsidR="00C92BFF">
        <w:rPr>
          <w:rFonts w:asciiTheme="minorHAnsi" w:hAnsiTheme="minorHAnsi"/>
          <w:lang w:val="ru-RU"/>
        </w:rPr>
        <w:t>услуг обслуживания компрессора и генераторов азота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357E14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1036BC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596D0F" w:rsidRDefault="00750E10" w:rsidP="00504B1A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 xml:space="preserve">закупку </w:t>
      </w:r>
      <w:r w:rsidR="00504B1A" w:rsidRPr="00504B1A">
        <w:rPr>
          <w:sz w:val="24"/>
          <w:szCs w:val="24"/>
          <w:lang w:val="ru-RU"/>
        </w:rPr>
        <w:t>услуг обслуживания компрессора и генераторов азота</w:t>
      </w:r>
      <w:bookmarkStart w:id="2" w:name="_GoBack"/>
      <w:bookmarkEnd w:id="2"/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</w:t>
      </w:r>
      <w:r w:rsidRPr="003661D4">
        <w:rPr>
          <w:sz w:val="24"/>
          <w:szCs w:val="24"/>
          <w:lang w:val="ru-RU"/>
        </w:rPr>
        <w:lastRenderedPageBreak/>
        <w:t>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3" w:name="_Toc32941539"/>
      <w:bookmarkStart w:id="4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bookmarkEnd w:id="4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5" w:name="_Ref93090116"/>
      <w:bookmarkStart w:id="6" w:name="_Toc37677344"/>
      <w:bookmarkStart w:id="7" w:name="_Toc130303395"/>
      <w:bookmarkStart w:id="8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5"/>
      <w:bookmarkEnd w:id="6"/>
      <w:bookmarkEnd w:id="7"/>
      <w:bookmarkEnd w:id="8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Toc37677345"/>
      <w:bookmarkStart w:id="10" w:name="_Toc130303396"/>
      <w:bookmarkStart w:id="11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9"/>
      <w:bookmarkEnd w:id="10"/>
      <w:bookmarkEnd w:id="11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</w:t>
      </w:r>
      <w:r w:rsidRPr="0096767C">
        <w:rPr>
          <w:sz w:val="24"/>
          <w:szCs w:val="24"/>
          <w:lang w:val="ru-RU" w:eastAsia="ar-SA"/>
        </w:rPr>
        <w:lastRenderedPageBreak/>
        <w:t>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2" w:name="_Ref86827631"/>
      <w:bookmarkStart w:id="13" w:name="_Toc37677346"/>
      <w:bookmarkStart w:id="14" w:name="_Toc130303397"/>
      <w:bookmarkStart w:id="15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2"/>
      <w:bookmarkEnd w:id="13"/>
      <w:bookmarkEnd w:id="14"/>
      <w:bookmarkEnd w:id="15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032C36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Годовая отчетность за 2022 и 2023 годы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9453A9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6" w:name="_Toc32941543"/>
      <w:bookmarkStart w:id="17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6"/>
      <w:bookmarkEnd w:id="17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8" w:name="_Toc32941544"/>
      <w:bookmarkStart w:id="19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8"/>
      <w:bookmarkEnd w:id="19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20" w:name="_Toc32941545"/>
      <w:bookmarkStart w:id="21" w:name="_Toc177647963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lastRenderedPageBreak/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2" w:name="_Ref86823116"/>
      <w:bookmarkStart w:id="23" w:name="_Toc32941547"/>
      <w:bookmarkStart w:id="24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2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3"/>
      <w:bookmarkEnd w:id="24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5" w:name="_Toc32941548"/>
      <w:bookmarkStart w:id="26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7" w:name="_Ref56235235"/>
      <w:bookmarkEnd w:id="25"/>
      <w:bookmarkEnd w:id="26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8" w:name="_Ref56240821"/>
      <w:bookmarkEnd w:id="27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9" w:name="_Ref55279015"/>
      <w:bookmarkStart w:id="30" w:name="_Ref55279017"/>
      <w:bookmarkEnd w:id="28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30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1" w:name="_Ref56220439"/>
      <w:bookmarkStart w:id="32" w:name="_Ref56233643"/>
      <w:bookmarkStart w:id="33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1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 xml:space="preserve">, за исключением тех оригиналов, не имеющих копий, на основании рассмотрения </w:t>
      </w:r>
      <w:r w:rsidRPr="00CB713E">
        <w:rPr>
          <w:sz w:val="24"/>
          <w:szCs w:val="24"/>
          <w:lang w:val="ru-RU" w:eastAsia="ar-SA"/>
        </w:rPr>
        <w:lastRenderedPageBreak/>
        <w:t>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4" w:name="_Toc32941549"/>
      <w:bookmarkStart w:id="35" w:name="_Toc177647966"/>
      <w:bookmarkEnd w:id="32"/>
      <w:bookmarkEnd w:id="33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4"/>
      <w:bookmarkEnd w:id="35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6" w:name="_Toc32941550"/>
      <w:bookmarkStart w:id="37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6"/>
      <w:bookmarkEnd w:id="37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EC6E4B">
        <w:rPr>
          <w:b/>
          <w:sz w:val="24"/>
          <w:szCs w:val="24"/>
          <w:u w:val="single"/>
          <w:lang w:val="ru-RU" w:eastAsia="ar-SA"/>
        </w:rPr>
        <w:t>8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C92BFF">
        <w:rPr>
          <w:b/>
          <w:sz w:val="24"/>
          <w:szCs w:val="24"/>
          <w:u w:val="single"/>
          <w:lang w:val="ru-RU" w:eastAsia="ar-SA"/>
        </w:rPr>
        <w:t>09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9453A9">
        <w:rPr>
          <w:b/>
          <w:sz w:val="24"/>
          <w:szCs w:val="24"/>
          <w:u w:val="single"/>
          <w:lang w:val="ru-RU" w:eastAsia="ar-SA"/>
        </w:rPr>
        <w:t>октября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24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8" w:name="_Ref55280453"/>
    </w:p>
    <w:p w:rsidR="001036BC" w:rsidRDefault="001036BC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9" w:name="_Toc32941551"/>
      <w:bookmarkStart w:id="40" w:name="_Toc177647968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8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9"/>
      <w:bookmarkEnd w:id="40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1" w:name="_Toc32941552"/>
      <w:bookmarkStart w:id="42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1"/>
      <w:bookmarkEnd w:id="42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3" w:name="_Ref93697814"/>
      <w:bookmarkStart w:id="44" w:name="_Toc32941554"/>
      <w:bookmarkStart w:id="45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3"/>
      <w:bookmarkEnd w:id="44"/>
      <w:bookmarkEnd w:id="45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6" w:name="_Toc32941555"/>
      <w:bookmarkStart w:id="47" w:name="_Toc177647971"/>
      <w:bookmarkStart w:id="48" w:name="_Ref93089457"/>
      <w:bookmarkStart w:id="49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6"/>
      <w:bookmarkEnd w:id="47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50" w:name="_Toc32941556"/>
      <w:bookmarkStart w:id="51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8"/>
      <w:bookmarkEnd w:id="50"/>
      <w:bookmarkEnd w:id="51"/>
      <w:proofErr w:type="spellEnd"/>
    </w:p>
    <w:bookmarkEnd w:id="49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E027CE">
        <w:rPr>
          <w:sz w:val="24"/>
          <w:szCs w:val="24"/>
          <w:lang w:val="ru-RU" w:eastAsia="ar-SA"/>
        </w:rPr>
        <w:t>товара</w:t>
      </w:r>
      <w:r w:rsidR="00C92BFF">
        <w:rPr>
          <w:sz w:val="24"/>
          <w:szCs w:val="24"/>
          <w:lang w:val="ru-RU" w:eastAsia="ar-SA"/>
        </w:rPr>
        <w:t xml:space="preserve"> и 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</w:t>
      </w:r>
      <w:r w:rsidR="009453A9">
        <w:rPr>
          <w:sz w:val="24"/>
          <w:szCs w:val="24"/>
          <w:lang w:val="ru-RU" w:eastAsia="ar-SA"/>
        </w:rPr>
        <w:t xml:space="preserve"> (возможна ли 100% </w:t>
      </w:r>
      <w:proofErr w:type="spellStart"/>
      <w:r w:rsidR="009453A9">
        <w:rPr>
          <w:sz w:val="24"/>
          <w:szCs w:val="24"/>
          <w:lang w:val="ru-RU" w:eastAsia="ar-SA"/>
        </w:rPr>
        <w:t>постоплата</w:t>
      </w:r>
      <w:proofErr w:type="spellEnd"/>
      <w:r w:rsidR="009453A9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2" w:name="_Ref55280461"/>
      <w:bookmarkStart w:id="53" w:name="_Toc32941557"/>
      <w:bookmarkStart w:id="54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2"/>
      <w:bookmarkEnd w:id="53"/>
      <w:bookmarkEnd w:id="54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5" w:name="_Toc32941558"/>
      <w:bookmarkStart w:id="56" w:name="_Toc46396866"/>
      <w:bookmarkStart w:id="57" w:name="_Toc177647974"/>
      <w:bookmarkStart w:id="58" w:name="_Toc32941559"/>
      <w:bookmarkStart w:id="59" w:name="_Ref55280368"/>
      <w:bookmarkStart w:id="60" w:name="%D0%A4%D0%9E%D0%A0%D0%9C%D0%AB"/>
      <w:bookmarkStart w:id="61" w:name="_Ref55336310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5"/>
      <w:bookmarkEnd w:id="56"/>
      <w:r w:rsidR="0025549B">
        <w:rPr>
          <w:lang w:val="ru-RU"/>
        </w:rPr>
        <w:t>*</w:t>
      </w:r>
      <w:bookmarkEnd w:id="57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18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C92BFF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09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9453A9">
              <w:rPr>
                <w:b/>
                <w:sz w:val="24"/>
                <w:szCs w:val="24"/>
                <w:lang w:val="ru-RU"/>
              </w:rPr>
              <w:t>10</w:t>
            </w:r>
            <w:r w:rsidR="004977CC">
              <w:rPr>
                <w:b/>
                <w:sz w:val="24"/>
                <w:szCs w:val="24"/>
                <w:lang w:val="ru-RU"/>
              </w:rPr>
              <w:t>.2024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C92BFF" w:rsidP="004977CC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10</w:t>
            </w:r>
            <w:r w:rsidR="009453A9">
              <w:rPr>
                <w:b/>
                <w:bCs/>
                <w:sz w:val="24"/>
                <w:szCs w:val="24"/>
                <w:lang w:val="ru-RU" w:eastAsia="ar-SA"/>
              </w:rPr>
              <w:t>.10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 w:rsidR="009453A9">
              <w:rPr>
                <w:b/>
                <w:bCs/>
                <w:sz w:val="24"/>
                <w:szCs w:val="24"/>
                <w:lang w:val="ru-RU" w:eastAsia="ar-SA"/>
              </w:rPr>
              <w:t>11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453A9">
              <w:rPr>
                <w:b/>
                <w:bCs/>
                <w:sz w:val="24"/>
                <w:szCs w:val="24"/>
                <w:lang w:val="ru-RU" w:eastAsia="ar-SA"/>
              </w:rPr>
              <w:t>10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9453A9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9453A9">
              <w:rPr>
                <w:b/>
                <w:sz w:val="24"/>
                <w:szCs w:val="24"/>
                <w:lang w:val="ru-RU"/>
              </w:rPr>
              <w:t>14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453A9">
              <w:rPr>
                <w:b/>
                <w:sz w:val="24"/>
                <w:szCs w:val="24"/>
                <w:lang w:val="ru-RU"/>
              </w:rPr>
              <w:t>1</w:t>
            </w:r>
            <w:r w:rsidR="004977CC">
              <w:rPr>
                <w:b/>
                <w:sz w:val="24"/>
                <w:szCs w:val="24"/>
                <w:lang w:val="ru-RU"/>
              </w:rPr>
              <w:t>0.2024</w:t>
            </w:r>
          </w:p>
        </w:tc>
      </w:tr>
    </w:tbl>
    <w:p w:rsidR="00E202BB" w:rsidRPr="006C5DD5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2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2"/>
    </w:p>
    <w:p w:rsidR="00FC6504" w:rsidRDefault="00A928E4" w:rsidP="009453A9">
      <w:pPr>
        <w:pStyle w:val="Heading1"/>
        <w:rPr>
          <w:lang w:val="ru-RU"/>
        </w:rPr>
      </w:pPr>
      <w:bookmarkStart w:id="63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8"/>
      <w:bookmarkEnd w:id="63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C92BFF" w:rsidRDefault="00C92BFF" w:rsidP="00FC6504">
      <w:pPr>
        <w:ind w:firstLine="0"/>
        <w:rPr>
          <w:lang w:val="ru-RU"/>
        </w:rPr>
      </w:pPr>
      <w:r w:rsidRPr="00C92BFF">
        <w:rPr>
          <w:lang w:val="ru-RU"/>
        </w:rPr>
        <w:t>Проектный центр перспективных технологий масс-спектрометрии</w:t>
      </w:r>
    </w:p>
    <w:p w:rsidR="00C92BFF" w:rsidRPr="00C92BFF" w:rsidRDefault="00C92BFF" w:rsidP="00FC6504">
      <w:pPr>
        <w:ind w:firstLine="0"/>
        <w:rPr>
          <w:highlight w:val="red"/>
          <w:lang w:val="ru-RU"/>
        </w:rPr>
      </w:pPr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59"/>
      <w:bookmarkEnd w:id="60"/>
      <w:bookmarkEnd w:id="61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4" w:name="_Toc177647977"/>
      <w:bookmarkStart w:id="65" w:name="_Toc360453548"/>
      <w:bookmarkStart w:id="66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4"/>
      <w:r w:rsidR="004C5CBF" w:rsidRPr="008D30D3">
        <w:rPr>
          <w:caps/>
          <w:lang w:val="ru-RU"/>
        </w:rPr>
        <w:t xml:space="preserve"> </w:t>
      </w:r>
      <w:bookmarkEnd w:id="65"/>
      <w:bookmarkEnd w:id="66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14" w:rsidRDefault="00357E14">
      <w:r>
        <w:separator/>
      </w:r>
    </w:p>
  </w:endnote>
  <w:endnote w:type="continuationSeparator" w:id="0">
    <w:p w:rsidR="00357E14" w:rsidRDefault="0035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B1A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14" w:rsidRDefault="00357E14">
      <w:r>
        <w:separator/>
      </w:r>
    </w:p>
  </w:footnote>
  <w:footnote w:type="continuationSeparator" w:id="0">
    <w:p w:rsidR="00357E14" w:rsidRDefault="0035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57E14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4B1A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2BFF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17F739B7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9406A-5135-4153-8EF7-59A43926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216</TotalTime>
  <Pages>10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20649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Osipova</cp:lastModifiedBy>
  <cp:revision>25</cp:revision>
  <cp:lastPrinted>2017-11-20T07:32:00Z</cp:lastPrinted>
  <dcterms:created xsi:type="dcterms:W3CDTF">2023-05-29T10:14:00Z</dcterms:created>
  <dcterms:modified xsi:type="dcterms:W3CDTF">2024-10-02T18:48:00Z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