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6359BF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07A32381" w14:textId="77777777" w:rsidR="00F678BB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F678BB">
        <w:rPr>
          <w:rFonts w:asciiTheme="minorHAnsi" w:hAnsiTheme="minorHAnsi"/>
          <w:lang w:val="ru-RU"/>
        </w:rPr>
        <w:t>объекта:</w:t>
      </w:r>
    </w:p>
    <w:p w14:paraId="6111B132" w14:textId="7555C95B" w:rsidR="006C2C58" w:rsidRPr="007F044C" w:rsidRDefault="008772A0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</w:t>
      </w:r>
      <w:r w:rsidR="00AF0B07" w:rsidRPr="00AF0B07">
        <w:rPr>
          <w:rFonts w:asciiTheme="minorHAnsi" w:hAnsiTheme="minorHAnsi"/>
          <w:lang w:val="ru-RU"/>
        </w:rPr>
        <w:t xml:space="preserve">истемы </w:t>
      </w:r>
      <w:r w:rsidR="00F678BB" w:rsidRPr="00AF0B07">
        <w:rPr>
          <w:rFonts w:asciiTheme="minorHAnsi" w:hAnsiTheme="minorHAnsi"/>
          <w:lang w:val="ru-RU"/>
        </w:rPr>
        <w:t>магистральных и специальных газов</w:t>
      </w:r>
      <w:r w:rsidR="00AF0B07" w:rsidRPr="00AF0B07">
        <w:rPr>
          <w:rFonts w:asciiTheme="minorHAnsi" w:hAnsiTheme="minorHAnsi"/>
          <w:lang w:val="ru-RU"/>
        </w:rPr>
        <w:t>,</w:t>
      </w:r>
      <w:r w:rsidR="00F678BB" w:rsidRPr="00AF0B0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</w:t>
      </w:r>
      <w:r w:rsidR="00AF0B07" w:rsidRPr="00AF0B07">
        <w:rPr>
          <w:rFonts w:asciiTheme="minorHAnsi" w:hAnsiTheme="minorHAnsi"/>
          <w:lang w:val="ru-RU"/>
        </w:rPr>
        <w:t xml:space="preserve">омещения </w:t>
      </w:r>
      <w:r w:rsidR="00F678BB" w:rsidRPr="00AF0B07">
        <w:rPr>
          <w:rFonts w:asciiTheme="minorHAnsi" w:hAnsiTheme="minorHAnsi"/>
          <w:lang w:val="ru-RU"/>
        </w:rPr>
        <w:t>хранения газов</w:t>
      </w:r>
      <w:r w:rsidR="00AF0B07" w:rsidRPr="00AF0B07">
        <w:rPr>
          <w:rFonts w:asciiTheme="minorHAnsi" w:hAnsiTheme="minorHAnsi"/>
          <w:lang w:val="ru-RU"/>
        </w:rPr>
        <w:t xml:space="preserve">, магистральные </w:t>
      </w:r>
      <w:r w:rsidR="00F678BB" w:rsidRPr="00AF0B07">
        <w:rPr>
          <w:rFonts w:asciiTheme="minorHAnsi" w:hAnsiTheme="minorHAnsi"/>
          <w:lang w:val="ru-RU"/>
        </w:rPr>
        <w:t>сети</w:t>
      </w:r>
    </w:p>
    <w:p w14:paraId="49656C7A" w14:textId="77777777" w:rsidR="00E42078" w:rsidRPr="00AF0B07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4E1A7AD0" w14:textId="47EF0A8D" w:rsidR="00AD2964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6853784" w:history="1">
        <w:r w:rsidR="00AD2964" w:rsidRPr="00DC34A5">
          <w:rPr>
            <w:rStyle w:val="Hyperlink"/>
            <w:noProof/>
            <w:lang w:val="ru-RU"/>
          </w:rPr>
          <w:t xml:space="preserve">Раздел 1.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ОБЩИЕ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О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ЗАПРОСА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_Toc16853784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4</w:t>
        </w:r>
        <w:r w:rsidR="00AD2964">
          <w:rPr>
            <w:noProof/>
            <w:webHidden/>
          </w:rPr>
          <w:fldChar w:fldCharType="end"/>
        </w:r>
      </w:hyperlink>
    </w:p>
    <w:p w14:paraId="68E65AD9" w14:textId="147F4353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85" w:history="1">
        <w:r w:rsidR="00AD2964" w:rsidRPr="00DC34A5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_Toc16853785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6</w:t>
        </w:r>
        <w:r w:rsidR="00AD2964">
          <w:rPr>
            <w:noProof/>
            <w:webHidden/>
          </w:rPr>
          <w:fldChar w:fldCharType="end"/>
        </w:r>
      </w:hyperlink>
    </w:p>
    <w:p w14:paraId="68381624" w14:textId="26E05782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6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_Toc16853786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6</w:t>
        </w:r>
        <w:r w:rsidR="00AD2964">
          <w:rPr>
            <w:noProof/>
            <w:webHidden/>
          </w:rPr>
          <w:fldChar w:fldCharType="end"/>
        </w:r>
      </w:hyperlink>
    </w:p>
    <w:p w14:paraId="4AB63EB7" w14:textId="40DBEC41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7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_Toc16853787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6</w:t>
        </w:r>
        <w:r w:rsidR="00AD2964">
          <w:rPr>
            <w:noProof/>
            <w:webHidden/>
          </w:rPr>
          <w:fldChar w:fldCharType="end"/>
        </w:r>
      </w:hyperlink>
    </w:p>
    <w:p w14:paraId="4C90D1F0" w14:textId="2A4E6325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8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AD2964" w:rsidRPr="00DC34A5">
          <w:rPr>
            <w:rStyle w:val="Hyperlink"/>
            <w:noProof/>
            <w:lang w:val="ru-RU" w:eastAsia="ar-SA"/>
          </w:rPr>
          <w:t xml:space="preserve">,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_Toc16853788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7</w:t>
        </w:r>
        <w:r w:rsidR="00AD2964">
          <w:rPr>
            <w:noProof/>
            <w:webHidden/>
          </w:rPr>
          <w:fldChar w:fldCharType="end"/>
        </w:r>
      </w:hyperlink>
    </w:p>
    <w:p w14:paraId="6AD2CDC2" w14:textId="19B5A14B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89" w:history="1">
        <w:r w:rsidR="00AD2964" w:rsidRPr="00DC34A5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_Toc16853789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9</w:t>
        </w:r>
        <w:r w:rsidR="00AD2964">
          <w:rPr>
            <w:noProof/>
            <w:webHidden/>
          </w:rPr>
          <w:fldChar w:fldCharType="end"/>
        </w:r>
      </w:hyperlink>
    </w:p>
    <w:p w14:paraId="342C890F" w14:textId="6511128A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0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_Toc16853790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9</w:t>
        </w:r>
        <w:r w:rsidR="00AD2964">
          <w:rPr>
            <w:noProof/>
            <w:webHidden/>
          </w:rPr>
          <w:fldChar w:fldCharType="end"/>
        </w:r>
      </w:hyperlink>
    </w:p>
    <w:p w14:paraId="2B92C869" w14:textId="06118D63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1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_Toc16853791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9</w:t>
        </w:r>
        <w:r w:rsidR="00AD2964">
          <w:rPr>
            <w:noProof/>
            <w:webHidden/>
          </w:rPr>
          <w:fldChar w:fldCharType="end"/>
        </w:r>
      </w:hyperlink>
    </w:p>
    <w:p w14:paraId="391F3452" w14:textId="17B7EA77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2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_Toc16853792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10</w:t>
        </w:r>
        <w:r w:rsidR="00AD2964">
          <w:rPr>
            <w:noProof/>
            <w:webHidden/>
          </w:rPr>
          <w:fldChar w:fldCharType="end"/>
        </w:r>
      </w:hyperlink>
    </w:p>
    <w:p w14:paraId="7D26EEE6" w14:textId="44401838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3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_Toc16853793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10</w:t>
        </w:r>
        <w:r w:rsidR="00AD2964">
          <w:rPr>
            <w:noProof/>
            <w:webHidden/>
          </w:rPr>
          <w:fldChar w:fldCharType="end"/>
        </w:r>
      </w:hyperlink>
    </w:p>
    <w:p w14:paraId="59A7E7D6" w14:textId="0CFF8ABA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4" w:history="1">
        <w:r w:rsidR="00AD2964" w:rsidRPr="00DC34A5">
          <w:rPr>
            <w:rStyle w:val="Hyperlink"/>
            <w:rFonts w:eastAsia="Calibri" w:cs="Calibri"/>
            <w:noProof/>
            <w:lang w:eastAsia="ar-SA"/>
          </w:rPr>
          <w:t>Общие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_Toc16853794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10</w:t>
        </w:r>
        <w:r w:rsidR="00AD2964">
          <w:rPr>
            <w:noProof/>
            <w:webHidden/>
          </w:rPr>
          <w:fldChar w:fldCharType="end"/>
        </w:r>
      </w:hyperlink>
    </w:p>
    <w:p w14:paraId="1975E75E" w14:textId="188D4BD4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5" w:history="1">
        <w:r w:rsidR="00AD2964" w:rsidRPr="00DC34A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языку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_Toc16853795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11</w:t>
        </w:r>
        <w:r w:rsidR="00AD2964">
          <w:rPr>
            <w:noProof/>
            <w:webHidden/>
          </w:rPr>
          <w:fldChar w:fldCharType="end"/>
        </w:r>
      </w:hyperlink>
    </w:p>
    <w:p w14:paraId="5B39C6D5" w14:textId="53FCFE7C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6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_Toc16853796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12</w:t>
        </w:r>
        <w:r w:rsidR="00AD2964">
          <w:rPr>
            <w:noProof/>
            <w:webHidden/>
          </w:rPr>
          <w:fldChar w:fldCharType="end"/>
        </w:r>
      </w:hyperlink>
    </w:p>
    <w:p w14:paraId="528DB05F" w14:textId="69820CF1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97" w:history="1">
        <w:r w:rsidR="00AD2964" w:rsidRPr="00DC34A5">
          <w:rPr>
            <w:rStyle w:val="Hyperlink"/>
            <w:noProof/>
            <w:lang w:val="ru-RU"/>
          </w:rPr>
          <w:t xml:space="preserve">Раздел 4.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_Toc16853797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13</w:t>
        </w:r>
        <w:r w:rsidR="00AD2964">
          <w:rPr>
            <w:noProof/>
            <w:webHidden/>
          </w:rPr>
          <w:fldChar w:fldCharType="end"/>
        </w:r>
      </w:hyperlink>
    </w:p>
    <w:p w14:paraId="20B401EF" w14:textId="621B9B7E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8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_Toc16853798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13</w:t>
        </w:r>
        <w:r w:rsidR="00AD2964">
          <w:rPr>
            <w:noProof/>
            <w:webHidden/>
          </w:rPr>
          <w:fldChar w:fldCharType="end"/>
        </w:r>
      </w:hyperlink>
    </w:p>
    <w:p w14:paraId="34BAE400" w14:textId="4F0DE391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9" w:history="1">
        <w:r w:rsidR="00AD2964" w:rsidRPr="00DC34A5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_Toc16853799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13</w:t>
        </w:r>
        <w:r w:rsidR="00AD2964">
          <w:rPr>
            <w:noProof/>
            <w:webHidden/>
          </w:rPr>
          <w:fldChar w:fldCharType="end"/>
        </w:r>
      </w:hyperlink>
    </w:p>
    <w:p w14:paraId="00C993FE" w14:textId="1F3B6895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0" w:history="1">
        <w:r w:rsidR="00AD2964" w:rsidRPr="00DC34A5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_Toc16853800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14</w:t>
        </w:r>
        <w:r w:rsidR="00AD2964">
          <w:rPr>
            <w:noProof/>
            <w:webHidden/>
          </w:rPr>
          <w:fldChar w:fldCharType="end"/>
        </w:r>
      </w:hyperlink>
    </w:p>
    <w:p w14:paraId="503F2F65" w14:textId="0EE5B0DB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1" w:history="1"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_Toc16853801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14</w:t>
        </w:r>
        <w:r w:rsidR="00AD2964">
          <w:rPr>
            <w:noProof/>
            <w:webHidden/>
          </w:rPr>
          <w:fldChar w:fldCharType="end"/>
        </w:r>
      </w:hyperlink>
    </w:p>
    <w:p w14:paraId="230A1168" w14:textId="27D72639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2" w:history="1">
        <w:r w:rsidR="00AD2964" w:rsidRPr="00DC34A5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AD2964" w:rsidRPr="00DC34A5">
          <w:rPr>
            <w:rStyle w:val="Hyperlink"/>
            <w:noProof/>
            <w:lang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_Toc16853802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14</w:t>
        </w:r>
        <w:r w:rsidR="00AD2964">
          <w:rPr>
            <w:noProof/>
            <w:webHidden/>
          </w:rPr>
          <w:fldChar w:fldCharType="end"/>
        </w:r>
      </w:hyperlink>
    </w:p>
    <w:p w14:paraId="544A8E4F" w14:textId="4A53CD28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3" w:history="1">
        <w:r w:rsidR="00AD2964" w:rsidRPr="00DC34A5">
          <w:rPr>
            <w:rStyle w:val="Hyperlink"/>
            <w:noProof/>
            <w:lang w:val="ru-RU"/>
          </w:rPr>
          <w:t xml:space="preserve">Раздел 5.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AD2964" w:rsidRPr="00DC34A5">
          <w:rPr>
            <w:rStyle w:val="Hyperlink"/>
            <w:noProof/>
            <w:lang w:val="ru-RU" w:eastAsia="ar-SA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_Toc16853803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15</w:t>
        </w:r>
        <w:r w:rsidR="00AD2964">
          <w:rPr>
            <w:noProof/>
            <w:webHidden/>
          </w:rPr>
          <w:fldChar w:fldCharType="end"/>
        </w:r>
      </w:hyperlink>
    </w:p>
    <w:p w14:paraId="4B424A22" w14:textId="38097C36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4" w:history="1">
        <w:r w:rsidR="00AD2964" w:rsidRPr="00DC34A5">
          <w:rPr>
            <w:rStyle w:val="Hyperlink"/>
            <w:noProof/>
            <w:lang w:val="ru-RU"/>
          </w:rPr>
          <w:t xml:space="preserve">Раздел 6. </w:t>
        </w:r>
        <w:r w:rsidR="00AD2964" w:rsidRPr="00DC34A5">
          <w:rPr>
            <w:rStyle w:val="Hyperlink"/>
            <w:noProof/>
          </w:rPr>
          <w:t>ГРАФИК ПРОВЕДЕНИЯ КОНКУРСА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_Toc16853804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16</w:t>
        </w:r>
        <w:r w:rsidR="00AD2964">
          <w:rPr>
            <w:noProof/>
            <w:webHidden/>
          </w:rPr>
          <w:fldChar w:fldCharType="end"/>
        </w:r>
      </w:hyperlink>
    </w:p>
    <w:p w14:paraId="4922E799" w14:textId="2E102571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5" w:history="1">
        <w:r w:rsidR="00AD2964" w:rsidRPr="00DC34A5">
          <w:rPr>
            <w:rStyle w:val="Hyperlink"/>
            <w:noProof/>
            <w:lang w:val="ru-RU"/>
          </w:rPr>
          <w:t xml:space="preserve">Раздел 7. </w:t>
        </w:r>
        <w:r w:rsidR="00AD2964" w:rsidRPr="00DC34A5">
          <w:rPr>
            <w:rStyle w:val="Hyperlink"/>
            <w:noProof/>
          </w:rPr>
          <w:t>КОНТАКТНЫЕ РЕКВИЗИТЫ ЗАКАЗЧИКА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_Toc16853805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17</w:t>
        </w:r>
        <w:r w:rsidR="00AD2964">
          <w:rPr>
            <w:noProof/>
            <w:webHidden/>
          </w:rPr>
          <w:fldChar w:fldCharType="end"/>
        </w:r>
      </w:hyperlink>
    </w:p>
    <w:p w14:paraId="5B1BABFA" w14:textId="14174959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6" w:history="1">
        <w:r w:rsidR="00AD2964" w:rsidRPr="00DC34A5">
          <w:rPr>
            <w:rStyle w:val="Hyperlink"/>
            <w:noProof/>
            <w:lang w:val="ru-RU"/>
          </w:rPr>
          <w:t xml:space="preserve">Раздел 8. </w:t>
        </w:r>
        <w:r w:rsidR="00AD2964" w:rsidRPr="00DC34A5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AD2964" w:rsidRPr="00DC34A5">
          <w:rPr>
            <w:rStyle w:val="Hyperlink"/>
            <w:noProof/>
            <w:lang w:eastAsia="ar-SA"/>
          </w:rPr>
          <w:t> </w:t>
        </w:r>
        <w:r w:rsidR="00AD2964" w:rsidRPr="00DC34A5">
          <w:rPr>
            <w:rStyle w:val="Hyperlink"/>
            <w:noProof/>
            <w:lang w:val="ru-RU" w:eastAsia="ar-SA"/>
          </w:rPr>
          <w:t>ПРЕДЛОЖЕНИЕ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_Toc16853806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18</w:t>
        </w:r>
        <w:r w:rsidR="00AD2964">
          <w:rPr>
            <w:noProof/>
            <w:webHidden/>
          </w:rPr>
          <w:fldChar w:fldCharType="end"/>
        </w:r>
      </w:hyperlink>
    </w:p>
    <w:p w14:paraId="4FA17607" w14:textId="794549B2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7" w:history="1">
        <w:r w:rsidR="00AD2964" w:rsidRPr="00DC34A5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_Toc16853807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18</w:t>
        </w:r>
        <w:r w:rsidR="00AD2964">
          <w:rPr>
            <w:noProof/>
            <w:webHidden/>
          </w:rPr>
          <w:fldChar w:fldCharType="end"/>
        </w:r>
      </w:hyperlink>
    </w:p>
    <w:p w14:paraId="0039CD14" w14:textId="45234B90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8" w:history="1">
        <w:r w:rsidR="00AD2964" w:rsidRPr="00DC34A5">
          <w:rPr>
            <w:rStyle w:val="Hyperlink"/>
            <w:noProof/>
            <w:lang w:eastAsia="ar-SA"/>
          </w:rPr>
          <w:t>Инструкции по заполнению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_Toc16853808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18</w:t>
        </w:r>
        <w:r w:rsidR="00AD2964">
          <w:rPr>
            <w:noProof/>
            <w:webHidden/>
          </w:rPr>
          <w:fldChar w:fldCharType="end"/>
        </w:r>
      </w:hyperlink>
    </w:p>
    <w:p w14:paraId="447D2646" w14:textId="12E6FD90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9" w:history="1">
        <w:r w:rsidR="00AD2964" w:rsidRPr="00DC34A5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_Toc16853809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20</w:t>
        </w:r>
        <w:r w:rsidR="00AD2964">
          <w:rPr>
            <w:noProof/>
            <w:webHidden/>
          </w:rPr>
          <w:fldChar w:fldCharType="end"/>
        </w:r>
      </w:hyperlink>
    </w:p>
    <w:p w14:paraId="10321324" w14:textId="336B0A31" w:rsidR="00AD2964" w:rsidRDefault="009D79BB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10" w:history="1">
        <w:r w:rsidR="00AD2964" w:rsidRPr="00DC34A5">
          <w:rPr>
            <w:rStyle w:val="Hyperlink"/>
            <w:noProof/>
            <w:lang w:eastAsia="ar-SA"/>
          </w:rPr>
          <w:t>Инструкции по заполнению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_Toc16853810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22</w:t>
        </w:r>
        <w:r w:rsidR="00AD2964">
          <w:rPr>
            <w:noProof/>
            <w:webHidden/>
          </w:rPr>
          <w:fldChar w:fldCharType="end"/>
        </w:r>
      </w:hyperlink>
    </w:p>
    <w:p w14:paraId="6C15076B" w14:textId="2572971C" w:rsidR="00AD2964" w:rsidRDefault="009D79BB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11" w:history="1">
        <w:r w:rsidR="00AD2964" w:rsidRPr="00DC34A5">
          <w:rPr>
            <w:rStyle w:val="Hyperlink"/>
            <w:noProof/>
            <w:lang w:val="ru-RU"/>
          </w:rPr>
          <w:t>Раздел 9. Техническое задание (ПЛАНИРОВОЧНЫЕ РЕШЕНИЯ)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_Toc16853811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13CF2">
          <w:rPr>
            <w:noProof/>
            <w:webHidden/>
          </w:rPr>
          <w:t>23</w:t>
        </w:r>
        <w:r w:rsidR="00AD2964">
          <w:rPr>
            <w:noProof/>
            <w:webHidden/>
          </w:rPr>
          <w:fldChar w:fldCharType="end"/>
        </w:r>
      </w:hyperlink>
    </w:p>
    <w:p w14:paraId="0F272311" w14:textId="7D15F30F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6853784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38108644" w:rsidR="00ED53EB" w:rsidRPr="00184A6D" w:rsidRDefault="00750E10" w:rsidP="00AF0B07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с</w:t>
      </w:r>
      <w:r w:rsidR="00AF0B07" w:rsidRPr="00AF0B07">
        <w:rPr>
          <w:sz w:val="24"/>
          <w:szCs w:val="24"/>
          <w:lang w:val="ru-RU"/>
        </w:rPr>
        <w:t>истемы ма</w:t>
      </w:r>
      <w:r w:rsidR="00AF0B07">
        <w:rPr>
          <w:sz w:val="24"/>
          <w:szCs w:val="24"/>
          <w:lang w:val="ru-RU"/>
        </w:rPr>
        <w:t>гистральных и специальных газов,</w:t>
      </w:r>
      <w:r w:rsidR="00AF0B07" w:rsidRPr="00AF0B07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п</w:t>
      </w:r>
      <w:r w:rsidR="00AF0B07" w:rsidRPr="00AF0B07">
        <w:rPr>
          <w:sz w:val="24"/>
          <w:szCs w:val="24"/>
          <w:lang w:val="ru-RU"/>
        </w:rPr>
        <w:t>омещени</w:t>
      </w:r>
      <w:r w:rsidR="00AF0B07">
        <w:rPr>
          <w:sz w:val="24"/>
          <w:szCs w:val="24"/>
          <w:lang w:val="ru-RU"/>
        </w:rPr>
        <w:t xml:space="preserve">й </w:t>
      </w:r>
      <w:r w:rsidR="00AF0B07" w:rsidRPr="00AF0B07">
        <w:rPr>
          <w:sz w:val="24"/>
          <w:szCs w:val="24"/>
          <w:lang w:val="ru-RU"/>
        </w:rPr>
        <w:t>хранения газов</w:t>
      </w:r>
      <w:r w:rsidR="00AF0B07">
        <w:rPr>
          <w:sz w:val="24"/>
          <w:szCs w:val="24"/>
          <w:lang w:val="ru-RU"/>
        </w:rPr>
        <w:t xml:space="preserve"> и</w:t>
      </w:r>
      <w:r w:rsidR="00AF0B07" w:rsidRPr="00AF0B07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м</w:t>
      </w:r>
      <w:r w:rsidR="00AF0B07" w:rsidRPr="00AF0B07">
        <w:rPr>
          <w:sz w:val="24"/>
          <w:szCs w:val="24"/>
          <w:lang w:val="ru-RU"/>
        </w:rPr>
        <w:t>агистральны</w:t>
      </w:r>
      <w:r w:rsidR="00AF0B07">
        <w:rPr>
          <w:sz w:val="24"/>
          <w:szCs w:val="24"/>
          <w:lang w:val="ru-RU"/>
        </w:rPr>
        <w:t>х</w:t>
      </w:r>
      <w:r w:rsidR="00AF0B07" w:rsidRPr="00AF0B07">
        <w:rPr>
          <w:sz w:val="24"/>
          <w:szCs w:val="24"/>
          <w:lang w:val="ru-RU"/>
        </w:rPr>
        <w:t xml:space="preserve"> сет</w:t>
      </w:r>
      <w:r w:rsidR="00AF0B07">
        <w:rPr>
          <w:sz w:val="24"/>
          <w:szCs w:val="24"/>
          <w:lang w:val="ru-RU"/>
        </w:rPr>
        <w:t xml:space="preserve">ей в кампусе </w:t>
      </w:r>
      <w:proofErr w:type="spellStart"/>
      <w:r w:rsidR="003D24BA" w:rsidRPr="00184A6D">
        <w:rPr>
          <w:sz w:val="24"/>
          <w:szCs w:val="24"/>
          <w:lang w:val="ru-RU"/>
        </w:rPr>
        <w:t>Сколтеха</w:t>
      </w:r>
      <w:proofErr w:type="spellEnd"/>
      <w:r w:rsidR="00B86152" w:rsidRPr="00184A6D">
        <w:rPr>
          <w:sz w:val="24"/>
          <w:szCs w:val="24"/>
          <w:lang w:val="ru-RU"/>
        </w:rPr>
        <w:t xml:space="preserve"> 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184A6D">
        <w:rPr>
          <w:sz w:val="24"/>
          <w:szCs w:val="24"/>
          <w:lang w:val="ru-RU"/>
        </w:rPr>
        <w:t>Сколково</w:t>
      </w:r>
      <w:proofErr w:type="spellEnd"/>
      <w:r w:rsidR="00ED53EB" w:rsidRPr="00184A6D">
        <w:rPr>
          <w:sz w:val="24"/>
          <w:szCs w:val="24"/>
          <w:lang w:val="ru-RU"/>
        </w:rPr>
        <w:t xml:space="preserve">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</w:t>
      </w:r>
      <w:r w:rsidR="00AF0B07">
        <w:rPr>
          <w:sz w:val="24"/>
          <w:szCs w:val="24"/>
          <w:lang w:val="ru-RU"/>
        </w:rPr>
        <w:t>2,</w:t>
      </w:r>
      <w:r w:rsidR="003D24BA" w:rsidRPr="00184A6D">
        <w:rPr>
          <w:sz w:val="24"/>
          <w:szCs w:val="24"/>
          <w:lang w:val="ru-RU"/>
        </w:rPr>
        <w:t xml:space="preserve"> «</w:t>
      </w:r>
      <w:r w:rsidR="00ED53EB" w:rsidRPr="00184A6D">
        <w:rPr>
          <w:sz w:val="24"/>
          <w:szCs w:val="24"/>
          <w:lang w:val="ru-RU"/>
        </w:rPr>
        <w:t>Восточное кольцо</w:t>
      </w:r>
      <w:r w:rsidR="003D24BA" w:rsidRPr="00184A6D">
        <w:rPr>
          <w:sz w:val="24"/>
          <w:szCs w:val="24"/>
          <w:lang w:val="ru-RU"/>
        </w:rPr>
        <w:t>».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EBAB9A6" w14:textId="4955DE5B" w:rsidR="00150780" w:rsidRPr="00AF0B07" w:rsidRDefault="00150780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 xml:space="preserve">Предмет проектирования: </w:t>
      </w:r>
    </w:p>
    <w:p w14:paraId="7E402C8F" w14:textId="768734FC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Система хранения и распределения магистральных газов, необходимых для функционирования лабораторий «</w:t>
      </w:r>
      <w:proofErr w:type="spellStart"/>
      <w:r w:rsidRPr="00AF0B07">
        <w:rPr>
          <w:sz w:val="24"/>
          <w:szCs w:val="24"/>
          <w:lang w:val="ru-RU"/>
        </w:rPr>
        <w:t>Сколтех</w:t>
      </w:r>
      <w:proofErr w:type="spellEnd"/>
      <w:r w:rsidRPr="00AF0B07">
        <w:rPr>
          <w:sz w:val="24"/>
          <w:szCs w:val="24"/>
          <w:lang w:val="ru-RU"/>
        </w:rPr>
        <w:t>», расположенных в здании «Восточное кольцо».</w:t>
      </w:r>
    </w:p>
    <w:p w14:paraId="3C088C53" w14:textId="41DFF55B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 xml:space="preserve">Система включает в себя: </w:t>
      </w:r>
    </w:p>
    <w:p w14:paraId="0875A38A" w14:textId="2E158E05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Систему распределения газов, расположенную в здании «Восточное кольцо», Москва, ул. Большой бульвар, д.30, стр.1</w:t>
      </w:r>
      <w:r w:rsidR="008C7AA0">
        <w:rPr>
          <w:sz w:val="24"/>
          <w:szCs w:val="24"/>
          <w:lang w:val="ru-RU"/>
        </w:rPr>
        <w:t xml:space="preserve"> (необходимо запроектировать систему подачи газов в лаборатории «Восточного кольца»).</w:t>
      </w:r>
    </w:p>
    <w:p w14:paraId="12B08642" w14:textId="77777777" w:rsidR="009B43DC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В объем проектирования входит</w:t>
      </w:r>
      <w:r w:rsidR="009B43DC" w:rsidRPr="00AF0B07">
        <w:rPr>
          <w:sz w:val="24"/>
          <w:szCs w:val="24"/>
          <w:lang w:val="ru-RU"/>
        </w:rPr>
        <w:t>:</w:t>
      </w:r>
    </w:p>
    <w:p w14:paraId="0A836525" w14:textId="61968397" w:rsidR="009B43DC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</w:t>
      </w:r>
      <w:r w:rsidR="009B43DC" w:rsidRPr="00AF0B07">
        <w:rPr>
          <w:sz w:val="24"/>
          <w:szCs w:val="24"/>
          <w:lang w:val="ru-RU"/>
        </w:rPr>
        <w:t>адии проектной документации «П»;</w:t>
      </w:r>
    </w:p>
    <w:p w14:paraId="4BAA7CF5" w14:textId="07DCDD20" w:rsidR="009B43DC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защита данной документа</w:t>
      </w:r>
      <w:r w:rsidR="009B43DC" w:rsidRPr="00AF0B07">
        <w:rPr>
          <w:sz w:val="24"/>
          <w:szCs w:val="24"/>
          <w:lang w:val="ru-RU"/>
        </w:rPr>
        <w:t xml:space="preserve">ции в экспертизе Фонда </w:t>
      </w:r>
      <w:proofErr w:type="spellStart"/>
      <w:r w:rsidR="009B43DC" w:rsidRPr="00AF0B07">
        <w:rPr>
          <w:sz w:val="24"/>
          <w:szCs w:val="24"/>
          <w:lang w:val="ru-RU"/>
        </w:rPr>
        <w:t>Сколково</w:t>
      </w:r>
      <w:proofErr w:type="spellEnd"/>
      <w:r w:rsidR="009B43DC" w:rsidRPr="00AF0B07">
        <w:rPr>
          <w:sz w:val="24"/>
          <w:szCs w:val="24"/>
          <w:lang w:val="ru-RU"/>
        </w:rPr>
        <w:t>;</w:t>
      </w:r>
    </w:p>
    <w:p w14:paraId="07505C89" w14:textId="5411A130" w:rsidR="00150780" w:rsidRPr="00AF0B07" w:rsidRDefault="009B43DC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стадии «Р»;</w:t>
      </w:r>
    </w:p>
    <w:p w14:paraId="33D82643" w14:textId="670816D3" w:rsidR="00150780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необходимых инженерных изыскания и защита их результ</w:t>
      </w:r>
      <w:r w:rsidR="009B43DC" w:rsidRPr="00AF0B07">
        <w:rPr>
          <w:sz w:val="24"/>
          <w:szCs w:val="24"/>
          <w:lang w:val="ru-RU"/>
        </w:rPr>
        <w:t>атов в экспертизе;</w:t>
      </w:r>
    </w:p>
    <w:p w14:paraId="7FE2E393" w14:textId="2349A54B" w:rsidR="00E22F2D" w:rsidRPr="008C7AA0" w:rsidRDefault="00D636C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</w:t>
      </w:r>
      <w:r w:rsidR="00E22F2D" w:rsidRPr="008C7AA0">
        <w:rPr>
          <w:sz w:val="24"/>
          <w:szCs w:val="24"/>
          <w:lang w:val="ru-RU"/>
        </w:rPr>
        <w:t xml:space="preserve">сметной документации </w:t>
      </w:r>
      <w:r w:rsidR="009B43DC" w:rsidRPr="00AF0B07">
        <w:rPr>
          <w:sz w:val="24"/>
          <w:szCs w:val="24"/>
          <w:lang w:val="ru-RU"/>
        </w:rPr>
        <w:t xml:space="preserve">(на основании стадии «Р») </w:t>
      </w:r>
      <w:r w:rsidR="00E22F2D" w:rsidRPr="008C7AA0">
        <w:rPr>
          <w:sz w:val="24"/>
          <w:szCs w:val="24"/>
          <w:lang w:val="ru-RU"/>
        </w:rPr>
        <w:t>в нормативной базе ФЕР.</w:t>
      </w:r>
    </w:p>
    <w:p w14:paraId="0EE4314D" w14:textId="7AF28DB3" w:rsidR="002661FE" w:rsidRPr="003D24BA" w:rsidRDefault="002661FE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Текущее состояние </w:t>
      </w:r>
      <w:r w:rsidR="0090686B">
        <w:rPr>
          <w:sz w:val="24"/>
          <w:szCs w:val="24"/>
          <w:lang w:val="ru-RU"/>
        </w:rPr>
        <w:t xml:space="preserve">помещений </w:t>
      </w:r>
      <w:r>
        <w:rPr>
          <w:sz w:val="24"/>
          <w:szCs w:val="24"/>
          <w:lang w:val="ru-RU"/>
        </w:rPr>
        <w:t xml:space="preserve">– без отделки. </w:t>
      </w:r>
      <w:r w:rsidRPr="00F34B73">
        <w:rPr>
          <w:sz w:val="24"/>
          <w:szCs w:val="24"/>
          <w:lang w:val="ru-RU"/>
        </w:rPr>
        <w:t>Желаемый срок выполнения работ</w:t>
      </w:r>
      <w:r w:rsidR="006865A7">
        <w:rPr>
          <w:sz w:val="24"/>
          <w:szCs w:val="24"/>
          <w:lang w:val="ru-RU"/>
        </w:rPr>
        <w:t>, включая сроки прохождения гос. экспертизы</w:t>
      </w:r>
      <w:r w:rsidRPr="00F34B73">
        <w:rPr>
          <w:sz w:val="24"/>
          <w:szCs w:val="24"/>
          <w:lang w:val="ru-RU"/>
        </w:rPr>
        <w:t xml:space="preserve">: </w:t>
      </w:r>
      <w:r w:rsidR="0090686B">
        <w:rPr>
          <w:sz w:val="24"/>
          <w:szCs w:val="24"/>
          <w:lang w:val="ru-RU"/>
        </w:rPr>
        <w:t xml:space="preserve">до </w:t>
      </w:r>
      <w:r w:rsidR="009B43DC">
        <w:rPr>
          <w:sz w:val="24"/>
          <w:szCs w:val="24"/>
          <w:lang w:val="ru-RU"/>
        </w:rPr>
        <w:t>28.02</w:t>
      </w:r>
      <w:r w:rsidR="0090686B">
        <w:rPr>
          <w:sz w:val="24"/>
          <w:szCs w:val="24"/>
          <w:lang w:val="ru-RU"/>
        </w:rPr>
        <w:t>.</w:t>
      </w:r>
      <w:r w:rsidR="009B43DC">
        <w:rPr>
          <w:sz w:val="24"/>
          <w:szCs w:val="24"/>
          <w:lang w:val="ru-RU"/>
        </w:rPr>
        <w:t xml:space="preserve">2020 </w:t>
      </w:r>
      <w:r>
        <w:rPr>
          <w:sz w:val="24"/>
          <w:szCs w:val="24"/>
          <w:lang w:val="ru-RU"/>
        </w:rPr>
        <w:t>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05F6792B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lastRenderedPageBreak/>
        <w:t xml:space="preserve">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2B4DA30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4BB5BDC8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 xml:space="preserve">т разумную конфиденциальность относительно всех полученных </w:t>
      </w:r>
      <w:r w:rsidR="008B3FD4">
        <w:rPr>
          <w:sz w:val="24"/>
          <w:szCs w:val="24"/>
          <w:lang w:val="ru-RU"/>
        </w:rPr>
        <w:t>ими</w:t>
      </w:r>
      <w:r w:rsidR="008B3FD4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6A256D29"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в случае победы принять все условия Договора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 xml:space="preserve">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6853785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16853786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16853787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5D3BB6C7" w14:textId="17FAFBC8" w:rsidR="00FF441A" w:rsidRPr="00AF0B07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 должен проявить заинтересованность и</w:t>
      </w:r>
      <w:r w:rsidR="008B3FD4">
        <w:rPr>
          <w:sz w:val="24"/>
          <w:szCs w:val="24"/>
          <w:lang w:val="ru-RU" w:eastAsia="ar-SA"/>
        </w:rPr>
        <w:t>,</w:t>
      </w:r>
      <w:r w:rsidRPr="00BB1329">
        <w:rPr>
          <w:sz w:val="24"/>
          <w:szCs w:val="24"/>
          <w:lang w:val="ru-RU" w:eastAsia="ar-SA"/>
        </w:rPr>
        <w:t xml:space="preserve"> при этом</w:t>
      </w:r>
      <w:r w:rsidR="008B3FD4">
        <w:rPr>
          <w:sz w:val="24"/>
          <w:szCs w:val="24"/>
          <w:lang w:val="ru-RU" w:eastAsia="ar-SA"/>
        </w:rPr>
        <w:t>,</w:t>
      </w:r>
      <w:r w:rsidRPr="00BB1329">
        <w:rPr>
          <w:sz w:val="24"/>
          <w:szCs w:val="24"/>
          <w:lang w:val="ru-RU" w:eastAsia="ar-SA"/>
        </w:rPr>
        <w:t xml:space="preserve"> </w:t>
      </w:r>
      <w:r w:rsidRPr="00AF0B07">
        <w:rPr>
          <w:sz w:val="24"/>
          <w:szCs w:val="24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 w:rsidRPr="00AF0B07">
        <w:rPr>
          <w:sz w:val="24"/>
          <w:szCs w:val="24"/>
          <w:lang w:val="ru-RU" w:eastAsia="ar-SA"/>
        </w:rPr>
        <w:t xml:space="preserve">. </w:t>
      </w:r>
      <w:r w:rsidR="00AF0B07" w:rsidRPr="00F24EC4">
        <w:rPr>
          <w:sz w:val="24"/>
          <w:szCs w:val="24"/>
          <w:lang w:val="ru-RU" w:eastAsia="ar-SA"/>
        </w:rPr>
        <w:t>Также, участник процедуры открытого запроса</w:t>
      </w:r>
      <w:r w:rsidR="00AF0B07" w:rsidRPr="00AF0B07">
        <w:rPr>
          <w:sz w:val="24"/>
          <w:szCs w:val="24"/>
          <w:lang w:val="ru-RU" w:eastAsia="ar-SA"/>
        </w:rPr>
        <w:t xml:space="preserve"> </w:t>
      </w:r>
      <w:r w:rsidR="00AF0B07" w:rsidRPr="00F24EC4">
        <w:rPr>
          <w:sz w:val="24"/>
          <w:szCs w:val="24"/>
          <w:lang w:val="ru-RU" w:eastAsia="ar-SA"/>
        </w:rPr>
        <w:t>должен</w:t>
      </w:r>
      <w:r w:rsidR="00AF0B07">
        <w:rPr>
          <w:sz w:val="24"/>
          <w:szCs w:val="24"/>
          <w:lang w:val="ru-RU" w:eastAsia="ar-SA"/>
        </w:rPr>
        <w:t>:</w:t>
      </w:r>
    </w:p>
    <w:p w14:paraId="43F697FB" w14:textId="0C657975" w:rsidR="00FF441A" w:rsidRDefault="000A0465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F0B07">
        <w:rPr>
          <w:sz w:val="24"/>
          <w:szCs w:val="24"/>
          <w:lang w:val="ru-RU" w:eastAsia="ar-SA"/>
        </w:rPr>
        <w:t xml:space="preserve">6.1 </w:t>
      </w:r>
      <w:r w:rsidR="00AF0B07">
        <w:rPr>
          <w:sz w:val="24"/>
          <w:szCs w:val="24"/>
          <w:lang w:val="ru-RU" w:eastAsia="ar-SA"/>
        </w:rPr>
        <w:t>И</w:t>
      </w:r>
      <w:r w:rsidR="00AF0B07" w:rsidRPr="00F24EC4">
        <w:rPr>
          <w:sz w:val="24"/>
          <w:szCs w:val="24"/>
          <w:lang w:val="ru-RU" w:eastAsia="ar-SA"/>
        </w:rPr>
        <w:t xml:space="preserve">меть </w:t>
      </w:r>
      <w:r w:rsidR="00FF441A" w:rsidRPr="00F24EC4">
        <w:rPr>
          <w:sz w:val="24"/>
          <w:szCs w:val="24"/>
          <w:lang w:val="ru-RU" w:eastAsia="ar-SA"/>
        </w:rPr>
        <w:t xml:space="preserve">опыт успешного (не менее 3х договоров) выполнения работ по </w:t>
      </w:r>
      <w:r w:rsidR="008454F8" w:rsidRPr="00AF0B07">
        <w:rPr>
          <w:sz w:val="24"/>
          <w:szCs w:val="24"/>
          <w:lang w:val="ru-RU" w:eastAsia="ar-SA"/>
        </w:rPr>
        <w:t xml:space="preserve">проектированию систем хранения и распределения </w:t>
      </w:r>
      <w:r w:rsidR="00D636C0">
        <w:rPr>
          <w:sz w:val="24"/>
          <w:szCs w:val="24"/>
          <w:lang w:val="ru-RU" w:eastAsia="ar-SA"/>
        </w:rPr>
        <w:t xml:space="preserve">токсичных, взрывопожароопасных и инертных </w:t>
      </w:r>
      <w:r w:rsidR="008454F8" w:rsidRPr="00AF0B07">
        <w:rPr>
          <w:sz w:val="24"/>
          <w:szCs w:val="24"/>
          <w:lang w:val="ru-RU" w:eastAsia="ar-SA"/>
        </w:rPr>
        <w:t>газов, включая наружные сети газоснабжения,</w:t>
      </w:r>
      <w:r w:rsidR="00FF441A" w:rsidRPr="00F24EC4">
        <w:rPr>
          <w:sz w:val="24"/>
          <w:szCs w:val="24"/>
          <w:lang w:val="ru-RU" w:eastAsia="ar-SA"/>
        </w:rPr>
        <w:t xml:space="preserve"> в течение последних </w:t>
      </w:r>
      <w:r w:rsidR="00CE3C8F" w:rsidRPr="00AF0B07">
        <w:rPr>
          <w:sz w:val="24"/>
          <w:szCs w:val="24"/>
          <w:lang w:val="ru-RU" w:eastAsia="ar-SA"/>
        </w:rPr>
        <w:t>пяти</w:t>
      </w:r>
      <w:r w:rsidR="00FF441A" w:rsidRPr="00F24EC4">
        <w:rPr>
          <w:sz w:val="24"/>
          <w:szCs w:val="24"/>
          <w:lang w:val="ru-RU" w:eastAsia="ar-SA"/>
        </w:rPr>
        <w:t xml:space="preserve"> лет</w:t>
      </w:r>
      <w:r w:rsidR="00AF0B07">
        <w:rPr>
          <w:sz w:val="24"/>
          <w:szCs w:val="24"/>
          <w:lang w:val="ru-RU" w:eastAsia="ar-SA"/>
        </w:rPr>
        <w:t>;</w:t>
      </w:r>
    </w:p>
    <w:p w14:paraId="1BF5541A" w14:textId="6CDE8BE7" w:rsidR="00D636C0" w:rsidRDefault="00D636C0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6.2 Иметь опыт проектирования линейных объектов</w:t>
      </w:r>
      <w:r w:rsidR="00AF0B07">
        <w:rPr>
          <w:sz w:val="24"/>
          <w:szCs w:val="24"/>
          <w:lang w:val="ru-RU" w:eastAsia="ar-SA"/>
        </w:rPr>
        <w:t>;</w:t>
      </w:r>
    </w:p>
    <w:p w14:paraId="606CB455" w14:textId="7900CDBB" w:rsidR="006421AB" w:rsidRPr="00F24EC4" w:rsidRDefault="006421AB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6.3 Иметь опыт проектирования систем на зарубежных комплектующих для соответствующих классов чистоты газов</w:t>
      </w:r>
      <w:r w:rsidR="00AF0B07">
        <w:rPr>
          <w:sz w:val="24"/>
          <w:szCs w:val="24"/>
          <w:lang w:val="ru-RU" w:eastAsia="ar-SA"/>
        </w:rPr>
        <w:t>;</w:t>
      </w:r>
    </w:p>
    <w:p w14:paraId="7816F5BB" w14:textId="1C5F861C" w:rsidR="00BB1329" w:rsidRPr="00783D7F" w:rsidRDefault="000A0465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F0B07">
        <w:rPr>
          <w:sz w:val="24"/>
          <w:szCs w:val="24"/>
          <w:lang w:val="ru-RU" w:eastAsia="ar-SA"/>
        </w:rPr>
        <w:t>6.</w:t>
      </w:r>
      <w:r w:rsidR="002151FC" w:rsidRPr="00AF0B07">
        <w:rPr>
          <w:sz w:val="24"/>
          <w:szCs w:val="24"/>
          <w:lang w:val="ru-RU" w:eastAsia="ar-SA"/>
        </w:rPr>
        <w:t>4</w:t>
      </w:r>
      <w:r w:rsidRPr="00AF0B07">
        <w:rPr>
          <w:sz w:val="24"/>
          <w:szCs w:val="24"/>
          <w:lang w:val="ru-RU" w:eastAsia="ar-SA"/>
        </w:rPr>
        <w:t xml:space="preserve"> </w:t>
      </w:r>
      <w:r w:rsidR="00906FCD" w:rsidRPr="00AF0B07">
        <w:rPr>
          <w:sz w:val="24"/>
          <w:szCs w:val="24"/>
          <w:lang w:val="ru-RU" w:eastAsia="ar-SA"/>
        </w:rPr>
        <w:t xml:space="preserve">Иметь опыт проектирования </w:t>
      </w:r>
      <w:r w:rsidR="005B1422" w:rsidRPr="00AF0B07">
        <w:rPr>
          <w:sz w:val="24"/>
          <w:szCs w:val="24"/>
          <w:lang w:val="ru-RU" w:eastAsia="ar-SA"/>
        </w:rPr>
        <w:t>в 3D / построения BIM модели</w:t>
      </w:r>
      <w:r w:rsidR="00AF0B07">
        <w:rPr>
          <w:sz w:val="24"/>
          <w:szCs w:val="24"/>
          <w:lang w:val="ru-RU" w:eastAsia="ar-SA"/>
        </w:rPr>
        <w:t>.</w:t>
      </w:r>
      <w:r w:rsidR="00AF0B07" w:rsidRPr="00AF0B07">
        <w:rPr>
          <w:sz w:val="24"/>
          <w:szCs w:val="24"/>
          <w:u w:val="single"/>
          <w:lang w:val="ru-RU" w:eastAsia="ar-SA"/>
        </w:rPr>
        <w:t xml:space="preserve"> </w:t>
      </w:r>
    </w:p>
    <w:p w14:paraId="3A9ACFC6" w14:textId="09B75BB2" w:rsidR="00BB1329" w:rsidRPr="00BB1329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</w:t>
      </w:r>
      <w:r w:rsidRPr="00BB1329">
        <w:rPr>
          <w:sz w:val="24"/>
          <w:szCs w:val="24"/>
          <w:lang w:val="ru-RU" w:eastAsia="ar-SA"/>
        </w:rPr>
        <w:lastRenderedPageBreak/>
        <w:t xml:space="preserve">Акта сдачи-приемки)/ этапа. </w:t>
      </w:r>
    </w:p>
    <w:p w14:paraId="6021A656" w14:textId="2D132015" w:rsidR="00BB1329" w:rsidRPr="00BB1329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A13CF2">
        <w:rPr>
          <w:sz w:val="24"/>
          <w:szCs w:val="24"/>
          <w:lang w:val="ru-RU" w:eastAsia="ar-SA"/>
        </w:rPr>
        <w:t>11</w:t>
      </w:r>
      <w:r w:rsidR="00043DB5" w:rsidRPr="00184A6D">
        <w:rPr>
          <w:sz w:val="24"/>
          <w:szCs w:val="24"/>
          <w:lang w:val="ru-RU" w:eastAsia="ar-SA"/>
        </w:rPr>
        <w:t>.</w:t>
      </w:r>
      <w:r w:rsidR="00A13CF2">
        <w:rPr>
          <w:sz w:val="24"/>
          <w:szCs w:val="24"/>
          <w:lang w:val="ru-RU" w:eastAsia="ar-SA"/>
        </w:rPr>
        <w:t>11</w:t>
      </w:r>
      <w:r w:rsidR="00FD51DB">
        <w:rPr>
          <w:sz w:val="24"/>
          <w:szCs w:val="24"/>
          <w:lang w:val="ru-RU" w:eastAsia="ar-SA"/>
        </w:rPr>
        <w:t>.2019</w:t>
      </w:r>
      <w:r w:rsidRPr="00783D7F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1ECC4937" w14:textId="6915B1DC" w:rsidR="00217ECA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47813D16" w:rsidR="002D7638" w:rsidRPr="00E32AEE" w:rsidRDefault="00E32AEE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</w:t>
      </w:r>
      <w:r w:rsidR="00E743F7">
        <w:rPr>
          <w:sz w:val="24"/>
          <w:szCs w:val="24"/>
          <w:lang w:val="ru-RU" w:eastAsia="ar-SA"/>
        </w:rPr>
        <w:t>,</w:t>
      </w:r>
      <w:r w:rsidR="00FB03E6">
        <w:rPr>
          <w:sz w:val="24"/>
          <w:szCs w:val="24"/>
          <w:lang w:val="ru-RU" w:eastAsia="ar-SA"/>
        </w:rPr>
        <w:t xml:space="preserve"> 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AD2964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5" w:name="_Ref86827631"/>
      <w:bookmarkStart w:id="6" w:name="_Toc1685378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5"/>
      <w:bookmarkEnd w:id="6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5BF29BFA" w:rsidR="00217ECA" w:rsidRPr="00BB4185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</w:t>
      </w:r>
      <w:r w:rsidR="008B3FD4">
        <w:rPr>
          <w:sz w:val="24"/>
          <w:szCs w:val="24"/>
          <w:lang w:val="ru-RU" w:eastAsia="ar-SA"/>
        </w:rPr>
        <w:t>етствующих</w:t>
      </w:r>
      <w:r w:rsidR="008B7B93">
        <w:rPr>
          <w:sz w:val="24"/>
          <w:szCs w:val="24"/>
          <w:lang w:val="ru-RU" w:eastAsia="ar-SA"/>
        </w:rPr>
        <w:t xml:space="preserve">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3AE77F81" w:rsidR="00217ECA" w:rsidRPr="00EB037E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14:paraId="60D654A4" w14:textId="77777777" w:rsidR="00217ECA" w:rsidRPr="00BB4185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56B8085" w:rsidR="00217ECA" w:rsidRPr="009A781B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 w:rsidR="008B3FD4">
        <w:rPr>
          <w:sz w:val="24"/>
          <w:szCs w:val="24"/>
          <w:lang w:val="ru-RU" w:eastAsia="ar-SA"/>
        </w:rPr>
        <w:t>п</w:t>
      </w:r>
      <w:r>
        <w:rPr>
          <w:sz w:val="24"/>
          <w:szCs w:val="24"/>
          <w:lang w:val="ru-RU" w:eastAsia="ar-SA"/>
        </w:rPr>
        <w:t>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7" w:name="_Toc16853789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1685379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2FA0D078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A00C5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D7245F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13CF2">
        <w:rPr>
          <w:sz w:val="24"/>
          <w:szCs w:val="24"/>
          <w:lang w:val="ru-RU" w:eastAsia="ar-SA"/>
        </w:rPr>
        <w:t xml:space="preserve">3 </w:t>
      </w:r>
      <w:r>
        <w:rPr>
          <w:sz w:val="24"/>
          <w:szCs w:val="24"/>
          <w:lang w:val="ru-RU" w:eastAsia="ar-SA"/>
        </w:rPr>
        <w:t xml:space="preserve">рабочих </w:t>
      </w:r>
      <w:r w:rsidR="00A13CF2">
        <w:rPr>
          <w:sz w:val="24"/>
          <w:szCs w:val="24"/>
          <w:lang w:val="ru-RU" w:eastAsia="ar-SA"/>
        </w:rPr>
        <w:t xml:space="preserve">дня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14:paraId="51D03A54" w14:textId="4AF77F7D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 w:rsidR="008B3FD4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14:paraId="3C5A7B16" w14:textId="087858D0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68D902D4" w14:textId="6F5BC018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1685379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1026AE8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5D71D5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31B1A4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 xml:space="preserve">касательно </w:t>
      </w:r>
      <w:r w:rsidR="00E27C7F">
        <w:rPr>
          <w:sz w:val="24"/>
          <w:szCs w:val="24"/>
          <w:lang w:val="ru-RU"/>
        </w:rPr>
        <w:lastRenderedPageBreak/>
        <w:t>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AA9278E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5D71D5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0" w:name="_Toc16853792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0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59F5CB68" w14:textId="5F599E90" w:rsidR="009A781B" w:rsidRDefault="00C42565" w:rsidP="005D71D5">
      <w:pPr>
        <w:pStyle w:val="Heading2"/>
        <w:rPr>
          <w:lang w:val="ru-RU" w:eastAsia="ar-SA"/>
        </w:rPr>
      </w:pPr>
      <w:bookmarkStart w:id="11" w:name="_Ref86823116"/>
      <w:bookmarkStart w:id="12" w:name="_Toc1685379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1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3" w:name="_Toc16853794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4" w:name="_Ref56235235"/>
      <w:bookmarkEnd w:id="13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F4D0CF1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14:paraId="69EEA8DF" w14:textId="714BB648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2BCFC1D"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Ref56240821"/>
      <w:bookmarkEnd w:id="14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6" w:name="_Ref55279015"/>
      <w:bookmarkStart w:id="17" w:name="_Ref55279017"/>
      <w:bookmarkEnd w:id="15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6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7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8" w:name="_Ref56220439"/>
      <w:bookmarkStart w:id="19" w:name="_Ref56233643"/>
      <w:bookmarkStart w:id="20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8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53D6E769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7525B4F4" w14:textId="7716D5F4"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421AED1F" w14:textId="3CEE7DA2"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1" w:name="_Toc16853795"/>
      <w:bookmarkEnd w:id="19"/>
      <w:bookmarkEnd w:id="20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1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lastRenderedPageBreak/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0E0F316D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2" w:name="_Toc1685379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2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16071133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740FA31D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FA0647" w:rsidRPr="00184A6D">
        <w:rPr>
          <w:b/>
          <w:sz w:val="24"/>
          <w:szCs w:val="24"/>
          <w:u w:val="single"/>
          <w:lang w:val="ru-RU" w:eastAsia="ar-SA"/>
        </w:rPr>
        <w:t>1</w:t>
      </w:r>
      <w:r w:rsidR="00FA0647">
        <w:rPr>
          <w:b/>
          <w:sz w:val="24"/>
          <w:szCs w:val="24"/>
          <w:u w:val="single"/>
          <w:lang w:val="ru-RU" w:eastAsia="ar-SA"/>
        </w:rPr>
        <w:t>6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:00 </w:t>
      </w:r>
      <w:r w:rsidR="00A13CF2">
        <w:rPr>
          <w:b/>
          <w:sz w:val="24"/>
          <w:szCs w:val="24"/>
          <w:u w:val="single"/>
          <w:lang w:val="ru-RU" w:eastAsia="ar-SA"/>
        </w:rPr>
        <w:t xml:space="preserve">23 </w:t>
      </w:r>
      <w:r w:rsidR="00305E6C">
        <w:rPr>
          <w:b/>
          <w:sz w:val="24"/>
          <w:szCs w:val="24"/>
          <w:u w:val="single"/>
          <w:lang w:val="ru-RU" w:eastAsia="ar-SA"/>
        </w:rPr>
        <w:t>ок</w:t>
      </w:r>
      <w:bookmarkStart w:id="23" w:name="_GoBack"/>
      <w:bookmarkEnd w:id="23"/>
      <w:r w:rsidR="00B87BB8">
        <w:rPr>
          <w:b/>
          <w:sz w:val="24"/>
          <w:szCs w:val="24"/>
          <w:u w:val="single"/>
          <w:lang w:val="ru-RU" w:eastAsia="ar-SA"/>
        </w:rPr>
        <w:t xml:space="preserve">тября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2019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0FDE1866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81B94">
        <w:rPr>
          <w:sz w:val="24"/>
          <w:szCs w:val="24"/>
          <w:lang w:val="ru-RU" w:eastAsia="ar-SA"/>
        </w:rPr>
        <w:t>конца дня</w:t>
      </w:r>
      <w:r w:rsidRPr="00184A6D">
        <w:rPr>
          <w:sz w:val="24"/>
          <w:szCs w:val="24"/>
          <w:lang w:val="ru-RU" w:eastAsia="ar-SA"/>
        </w:rPr>
        <w:t xml:space="preserve"> </w:t>
      </w:r>
      <w:r w:rsidR="00A13CF2">
        <w:rPr>
          <w:sz w:val="24"/>
          <w:szCs w:val="24"/>
          <w:lang w:val="ru-RU" w:eastAsia="ar-SA"/>
        </w:rPr>
        <w:t>23</w:t>
      </w:r>
      <w:r w:rsidR="00A13CF2" w:rsidRPr="00184A6D">
        <w:rPr>
          <w:sz w:val="24"/>
          <w:szCs w:val="24"/>
          <w:lang w:val="ru-RU" w:eastAsia="ar-SA"/>
        </w:rPr>
        <w:t xml:space="preserve"> </w:t>
      </w:r>
      <w:r w:rsidR="00A13CF2">
        <w:rPr>
          <w:sz w:val="24"/>
          <w:szCs w:val="24"/>
          <w:lang w:val="ru-RU" w:eastAsia="ar-SA"/>
        </w:rPr>
        <w:t>октября</w:t>
      </w:r>
      <w:r w:rsidR="00A13CF2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1685379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1685379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16853799"/>
      <w:bookmarkStart w:id="29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16853800"/>
      <w:proofErr w:type="spellStart"/>
      <w:r w:rsidRPr="00A633E3">
        <w:rPr>
          <w:rFonts w:ascii="Calibri" w:eastAsia="Calibri" w:hAnsi="Calibri" w:cs="Calibri"/>
          <w:lang w:eastAsia="ar-SA"/>
        </w:rPr>
        <w:lastRenderedPageBreak/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16853801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1685380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14BD3B6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FD4E3B" w:rsidRPr="00FD4E3B">
        <w:rPr>
          <w:sz w:val="24"/>
          <w:szCs w:val="24"/>
          <w:lang w:val="ru-RU" w:eastAsia="ar-SA"/>
        </w:rPr>
        <w:t>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1685380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1685380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0650FD35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FA0647" w:rsidRPr="00184A6D">
              <w:rPr>
                <w:b/>
                <w:sz w:val="24"/>
                <w:szCs w:val="24"/>
                <w:lang w:val="ru-RU"/>
              </w:rPr>
              <w:t>1</w:t>
            </w:r>
            <w:r w:rsidR="00FA0647">
              <w:rPr>
                <w:b/>
                <w:sz w:val="24"/>
                <w:szCs w:val="24"/>
                <w:lang w:val="ru-RU"/>
              </w:rPr>
              <w:t>6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7667EFB1" w:rsidR="005D1882" w:rsidRPr="00184A6D" w:rsidRDefault="00A13CF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42375A5B" w:rsidR="005D1882" w:rsidRPr="00184A6D" w:rsidRDefault="00A13CF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24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5290FE26" w:rsidR="005D1882" w:rsidRPr="00184A6D" w:rsidRDefault="00A13CF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 октября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2ACEC42" w14:textId="7BC3DF8B" w:rsidR="000E35D3" w:rsidRPr="00184A6D" w:rsidRDefault="00A13CF2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30 октября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2AEBA9FF" w14:textId="042E24D2" w:rsidR="005D1882" w:rsidRPr="00184A6D" w:rsidRDefault="00B87BB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="00A13CF2">
              <w:rPr>
                <w:b/>
                <w:bCs/>
                <w:sz w:val="24"/>
                <w:szCs w:val="24"/>
                <w:lang w:val="ru-RU" w:eastAsia="ar-SA"/>
              </w:rPr>
              <w:t>ноября</w:t>
            </w:r>
            <w:r w:rsidR="00A13C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7FE5488B" w:rsidR="005D1882" w:rsidRPr="00184A6D" w:rsidRDefault="00A13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2D0FC0DD" w:rsidR="005D1882" w:rsidRPr="00184A6D" w:rsidRDefault="00A13CF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765D2F10" w:rsidR="005D1882" w:rsidRPr="00184A6D" w:rsidRDefault="00A13CF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11 ноября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16853805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1497AF9C" w14:textId="3D13989E" w:rsidR="00114979" w:rsidRPr="007A4433" w:rsidRDefault="001C363F" w:rsidP="00114979">
      <w:pPr>
        <w:ind w:firstLine="0"/>
        <w:rPr>
          <w:lang w:val="ru-RU"/>
        </w:rPr>
      </w:pPr>
      <w:r w:rsidRPr="007A4433">
        <w:rPr>
          <w:lang w:val="ru-RU"/>
        </w:rPr>
        <w:t>Главный инженер проектов</w:t>
      </w:r>
    </w:p>
    <w:p w14:paraId="4B34A99B" w14:textId="5F304135" w:rsidR="00114979" w:rsidRDefault="001C363F" w:rsidP="00114979">
      <w:pPr>
        <w:ind w:firstLine="0"/>
        <w:rPr>
          <w:lang w:val="ru-RU"/>
        </w:rPr>
      </w:pPr>
      <w:proofErr w:type="spellStart"/>
      <w:r w:rsidRPr="007A4433">
        <w:rPr>
          <w:lang w:val="ru-RU"/>
        </w:rPr>
        <w:t>Квитченко</w:t>
      </w:r>
      <w:proofErr w:type="spellEnd"/>
      <w:r w:rsidRPr="007A4433">
        <w:rPr>
          <w:lang w:val="ru-RU"/>
        </w:rPr>
        <w:t xml:space="preserve"> П.А.</w:t>
      </w:r>
    </w:p>
    <w:p w14:paraId="3FC0D1FD" w14:textId="73B994ED"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14:paraId="63BB21A1" w14:textId="5802A69C"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14:paraId="41D0B57D" w14:textId="0C769504" w:rsidR="00114979" w:rsidRDefault="009D79BB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Default="001C363F" w:rsidP="00114979">
      <w:pPr>
        <w:ind w:firstLine="0"/>
        <w:rPr>
          <w:lang w:val="ru-RU"/>
        </w:rPr>
      </w:pPr>
    </w:p>
    <w:p w14:paraId="13DD8270" w14:textId="220B3B73" w:rsidR="002151FC" w:rsidRDefault="002151FC" w:rsidP="002151FC">
      <w:pPr>
        <w:ind w:firstLine="0"/>
        <w:rPr>
          <w:lang w:val="ru-RU"/>
        </w:rPr>
      </w:pPr>
      <w:r>
        <w:rPr>
          <w:lang w:val="ru-RU"/>
        </w:rPr>
        <w:t xml:space="preserve">Старший руководитель проектов </w:t>
      </w:r>
      <w:r w:rsidR="008C7AA0" w:rsidRPr="007A4433" w:rsidDel="008C7AA0">
        <w:rPr>
          <w:lang w:val="ru-RU"/>
        </w:rPr>
        <w:t xml:space="preserve"> </w:t>
      </w:r>
    </w:p>
    <w:p w14:paraId="58B7EB75" w14:textId="5DC6FE01" w:rsidR="001C363F" w:rsidRDefault="002151FC" w:rsidP="002151FC">
      <w:pPr>
        <w:ind w:firstLine="0"/>
        <w:rPr>
          <w:lang w:val="ru-RU"/>
        </w:rPr>
      </w:pPr>
      <w:r>
        <w:rPr>
          <w:lang w:val="ru-RU"/>
        </w:rPr>
        <w:t>Захаров А.О.</w:t>
      </w:r>
    </w:p>
    <w:p w14:paraId="22D0D10B" w14:textId="360B4202" w:rsidR="001C363F" w:rsidRPr="00114979" w:rsidRDefault="001C363F" w:rsidP="001C363F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доб. </w:t>
      </w:r>
      <w:r w:rsidR="002151FC" w:rsidRPr="00114979">
        <w:rPr>
          <w:lang w:val="ru-RU"/>
        </w:rPr>
        <w:t>3</w:t>
      </w:r>
      <w:r w:rsidR="002151FC">
        <w:rPr>
          <w:lang w:val="ru-RU"/>
        </w:rPr>
        <w:t>354</w:t>
      </w:r>
    </w:p>
    <w:p w14:paraId="3FF05396" w14:textId="16186E7D" w:rsidR="001C363F" w:rsidRPr="002D7638" w:rsidRDefault="001C363F" w:rsidP="001C363F">
      <w:pPr>
        <w:ind w:firstLine="0"/>
        <w:rPr>
          <w:lang w:val="ru-RU"/>
        </w:rPr>
      </w:pPr>
      <w:r w:rsidRPr="002D7638">
        <w:rPr>
          <w:lang w:val="ru-RU"/>
        </w:rPr>
        <w:t>+7 (</w:t>
      </w:r>
      <w:r w:rsidR="002151FC" w:rsidRPr="002D7638">
        <w:rPr>
          <w:lang w:val="ru-RU"/>
        </w:rPr>
        <w:t>9</w:t>
      </w:r>
      <w:r w:rsidR="002151FC">
        <w:rPr>
          <w:lang w:val="ru-RU"/>
        </w:rPr>
        <w:t>17</w:t>
      </w:r>
      <w:r w:rsidRPr="002D7638">
        <w:rPr>
          <w:lang w:val="ru-RU"/>
        </w:rPr>
        <w:t xml:space="preserve">) </w:t>
      </w:r>
      <w:r w:rsidR="002151FC">
        <w:rPr>
          <w:lang w:val="ru-RU"/>
        </w:rPr>
        <w:t>579</w:t>
      </w:r>
      <w:r w:rsidR="002151FC" w:rsidRPr="002D7638">
        <w:rPr>
          <w:lang w:val="ru-RU"/>
        </w:rPr>
        <w:t xml:space="preserve"> </w:t>
      </w:r>
      <w:r w:rsidR="002151FC">
        <w:rPr>
          <w:lang w:val="ru-RU"/>
        </w:rPr>
        <w:t>01 21</w:t>
      </w:r>
      <w:r w:rsidR="002151FC" w:rsidRPr="002D7638">
        <w:rPr>
          <w:lang w:val="ru-RU"/>
        </w:rPr>
        <w:t xml:space="preserve"> </w:t>
      </w:r>
    </w:p>
    <w:p w14:paraId="01C36B00" w14:textId="42538062" w:rsidR="001C363F" w:rsidRDefault="009D79BB" w:rsidP="001C363F">
      <w:pPr>
        <w:ind w:firstLine="0"/>
        <w:rPr>
          <w:lang w:val="ru-RU"/>
        </w:rPr>
      </w:pPr>
      <w:hyperlink r:id="rId19" w:history="1">
        <w:r w:rsidR="002151FC" w:rsidRPr="002151FC">
          <w:rPr>
            <w:rStyle w:val="Hyperlink"/>
            <w:lang w:val="ru-RU"/>
          </w:rPr>
          <w:t>A.</w:t>
        </w:r>
        <w:r w:rsidR="002151FC" w:rsidRPr="002151FC">
          <w:rPr>
            <w:rStyle w:val="Hyperlink"/>
          </w:rPr>
          <w:t>Z</w:t>
        </w:r>
        <w:r w:rsidR="002151FC" w:rsidRPr="00D7698C">
          <w:rPr>
            <w:rStyle w:val="Hyperlink"/>
          </w:rPr>
          <w:t>a</w:t>
        </w:r>
        <w:r w:rsidR="002151FC" w:rsidRPr="000E6664">
          <w:rPr>
            <w:rStyle w:val="Hyperlink"/>
          </w:rPr>
          <w:t>kharov</w:t>
        </w:r>
        <w:r w:rsidR="002151FC" w:rsidRPr="000E6664">
          <w:rPr>
            <w:rStyle w:val="Hyperlink"/>
            <w:lang w:val="ru-RU"/>
          </w:rPr>
          <w:t>@skoltech.ru</w:t>
        </w:r>
      </w:hyperlink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9D79BB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proofErr w:type="spellStart"/>
        <w:r w:rsidR="00FC6504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1685380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16853807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153B7143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</w:t>
      </w:r>
      <w:r w:rsidR="00510A05">
        <w:rPr>
          <w:lang w:val="ru-RU" w:eastAsia="ar-SA"/>
        </w:rPr>
        <w:t>2,</w:t>
      </w:r>
      <w:r w:rsidR="00640AD7" w:rsidRPr="00184A6D">
        <w:rPr>
          <w:lang w:val="ru-RU" w:eastAsia="ar-SA"/>
        </w:rPr>
        <w:t xml:space="preserve">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4A9F2511" w:rsidR="00ED274D" w:rsidRPr="00184A6D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</w:t>
            </w:r>
            <w:r w:rsidR="00510A05">
              <w:rPr>
                <w:lang w:val="ru-RU" w:eastAsia="ar-SA"/>
              </w:rPr>
              <w:t>2,</w:t>
            </w:r>
            <w:r w:rsidRPr="00184A6D">
              <w:rPr>
                <w:lang w:val="ru-RU" w:eastAsia="ar-SA"/>
              </w:rPr>
              <w:t xml:space="preserve">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1685380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10DD1700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1685380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305E6C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305E6C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305E6C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305E6C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305E6C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305E6C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305E6C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305E6C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305E6C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305E6C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305E6C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588C2F35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305E6C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4AEDD0AD" w:rsidR="005A2F73" w:rsidRPr="00390D65" w:rsidRDefault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444" w14:textId="080B4B0A" w:rsidR="00FF2D6D" w:rsidRPr="00510A05" w:rsidRDefault="00FF2D6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510A05">
              <w:rPr>
                <w:lang w:val="ru-RU"/>
              </w:rPr>
              <w:t xml:space="preserve">Описать опыт успешного выполнения работ по </w:t>
            </w:r>
            <w:r w:rsidR="00F24EC4" w:rsidRPr="00510A05">
              <w:rPr>
                <w:lang w:val="ru-RU"/>
              </w:rPr>
              <w:t xml:space="preserve">проектированию систем хранения и распределения газов, включая наружные сети газоснабжения, </w:t>
            </w:r>
            <w:r w:rsidR="00D7698C" w:rsidRPr="00D7698C">
              <w:rPr>
                <w:lang w:val="ru-RU"/>
              </w:rPr>
              <w:t>опыт проектирования линейных объектов</w:t>
            </w:r>
            <w:r w:rsidR="00D7698C" w:rsidRPr="00510A05">
              <w:rPr>
                <w:lang w:val="ru-RU"/>
              </w:rPr>
              <w:t xml:space="preserve">, </w:t>
            </w:r>
            <w:r w:rsidR="00D7698C" w:rsidRPr="00D7698C">
              <w:rPr>
                <w:lang w:val="ru-RU"/>
              </w:rPr>
              <w:t>проектирования систем на зарубежных комплектующих для соответствующих классов чистоты газов</w:t>
            </w:r>
            <w:r w:rsidR="00510A05">
              <w:rPr>
                <w:lang w:val="ru-RU"/>
              </w:rPr>
              <w:t xml:space="preserve"> </w:t>
            </w:r>
            <w:r w:rsidR="00F24EC4" w:rsidRPr="00510A05">
              <w:rPr>
                <w:lang w:val="ru-RU"/>
              </w:rPr>
              <w:t>в течение последних пяти лет</w:t>
            </w:r>
            <w:r w:rsidRPr="00510A05">
              <w:rPr>
                <w:lang w:val="ru-RU"/>
              </w:rPr>
              <w:t>.</w:t>
            </w:r>
          </w:p>
          <w:p w14:paraId="2401E8C8" w14:textId="3FC28351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0EDF6B10" w14:textId="74A12A8F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65EAB625" w14:textId="27384C50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4720B49E" w14:textId="3BF458D8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071C7501" w14:textId="2B145FF1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370059C6" w14:textId="4725F814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6925E225" w14:textId="13EADB99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10A05">
              <w:rPr>
                <w:lang w:val="ru-RU"/>
              </w:rPr>
              <w:t>года выполнения проектных работ</w:t>
            </w:r>
          </w:p>
          <w:p w14:paraId="37D4B221" w14:textId="78ABCDF6" w:rsidR="005A2F73" w:rsidRPr="00510A05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>
              <w:rPr>
                <w:lang w:val="ru-RU"/>
              </w:rPr>
              <w:t>Предквалификации</w:t>
            </w:r>
            <w:proofErr w:type="spellEnd"/>
            <w:r>
              <w:rPr>
                <w:lang w:val="ru-RU"/>
              </w:rPr>
              <w:t>, однако свидетельствующих об опыте Участника.</w:t>
            </w:r>
          </w:p>
        </w:tc>
      </w:tr>
      <w:tr w:rsidR="005A2F73" w:rsidRPr="00150780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034F5484" w:rsidR="005A2F73" w:rsidRPr="00390D65" w:rsidRDefault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F24EC4">
              <w:rPr>
                <w:lang w:val="ru-RU"/>
              </w:rPr>
              <w:t>выполнения инженерных изысканий (если имеется)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DFE" w14:textId="02D0BF70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описание опыта подается в табличной форме, с указанием:</w:t>
            </w:r>
          </w:p>
          <w:p w14:paraId="6EA571FD" w14:textId="2AB7206F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предмета изысканий</w:t>
            </w:r>
          </w:p>
          <w:p w14:paraId="556C4758" w14:textId="233DD3CD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4B6BC61F" w14:textId="7063244F" w:rsidR="00F24EC4" w:rsidRDefault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5EA12397" w14:textId="4DDFB181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изыскательских работ</w:t>
            </w:r>
          </w:p>
          <w:p w14:paraId="5725C346" w14:textId="24B76D40" w:rsidR="005A2F73" w:rsidRPr="00390D65" w:rsidRDefault="005A2F7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305E6C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305E6C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B54C79A"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E72" w14:textId="21F38FD4"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14:paraId="1D7C755F" w14:textId="419D52D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1AEE92A" w14:textId="71026A8A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14:paraId="6FC0BB2C" w14:textId="59E78E2F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14:paraId="14100639" w14:textId="4CCDFA72" w:rsidR="007E0C25" w:rsidRPr="00510A05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305E6C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16853810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4C0F4ABB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1685381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3D3B178D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A13CF2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530" w:right="1701" w:bottom="90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19B7" w14:textId="77777777" w:rsidR="009D79BB" w:rsidRDefault="009D79BB">
      <w:r>
        <w:separator/>
      </w:r>
    </w:p>
  </w:endnote>
  <w:endnote w:type="continuationSeparator" w:id="0">
    <w:p w14:paraId="0E8B0624" w14:textId="77777777" w:rsidR="009D79BB" w:rsidRDefault="009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E7244" w:rsidRDefault="001E724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1E7244" w:rsidRDefault="001E7244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4539D8CD" w:rsidR="001E7244" w:rsidRDefault="001E724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E6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00C71E2" w14:textId="77777777" w:rsidR="001E7244" w:rsidRDefault="001E7244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6FAA" w14:textId="77777777" w:rsidR="009D79BB" w:rsidRDefault="009D79BB">
      <w:r>
        <w:separator/>
      </w:r>
    </w:p>
  </w:footnote>
  <w:footnote w:type="continuationSeparator" w:id="0">
    <w:p w14:paraId="51AB2B5F" w14:textId="77777777" w:rsidR="009D79BB" w:rsidRDefault="009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E7244" w:rsidRDefault="001E7244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E7244" w:rsidRDefault="001E7244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E7244" w:rsidRPr="00034F16" w:rsidRDefault="001E7244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51F2F"/>
    <w:multiLevelType w:val="hybridMultilevel"/>
    <w:tmpl w:val="2EE43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6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37"/>
  </w:num>
  <w:num w:numId="8">
    <w:abstractNumId w:val="9"/>
  </w:num>
  <w:num w:numId="9">
    <w:abstractNumId w:val="17"/>
  </w:num>
  <w:num w:numId="10">
    <w:abstractNumId w:val="28"/>
  </w:num>
  <w:num w:numId="11">
    <w:abstractNumId w:val="22"/>
  </w:num>
  <w:num w:numId="12">
    <w:abstractNumId w:val="34"/>
  </w:num>
  <w:num w:numId="13">
    <w:abstractNumId w:val="32"/>
  </w:num>
  <w:num w:numId="14">
    <w:abstractNumId w:val="11"/>
  </w:num>
  <w:num w:numId="15">
    <w:abstractNumId w:val="38"/>
  </w:num>
  <w:num w:numId="16">
    <w:abstractNumId w:val="27"/>
  </w:num>
  <w:num w:numId="17">
    <w:abstractNumId w:val="13"/>
  </w:num>
  <w:num w:numId="18">
    <w:abstractNumId w:val="36"/>
  </w:num>
  <w:num w:numId="19">
    <w:abstractNumId w:val="39"/>
  </w:num>
  <w:num w:numId="20">
    <w:abstractNumId w:val="25"/>
  </w:num>
  <w:num w:numId="21">
    <w:abstractNumId w:val="16"/>
  </w:num>
  <w:num w:numId="22">
    <w:abstractNumId w:val="26"/>
  </w:num>
  <w:num w:numId="23">
    <w:abstractNumId w:val="14"/>
  </w:num>
  <w:num w:numId="24">
    <w:abstractNumId w:val="19"/>
  </w:num>
  <w:num w:numId="25">
    <w:abstractNumId w:val="18"/>
  </w:num>
  <w:num w:numId="26">
    <w:abstractNumId w:val="24"/>
  </w:num>
  <w:num w:numId="27">
    <w:abstractNumId w:val="31"/>
  </w:num>
  <w:num w:numId="28">
    <w:abstractNumId w:val="23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0"/>
  </w:num>
  <w:num w:numId="34">
    <w:abstractNumId w:val="10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3FC6"/>
    <w:rsid w:val="00064890"/>
    <w:rsid w:val="00066D13"/>
    <w:rsid w:val="00075688"/>
    <w:rsid w:val="000841EC"/>
    <w:rsid w:val="00090672"/>
    <w:rsid w:val="000907B2"/>
    <w:rsid w:val="000960D2"/>
    <w:rsid w:val="000A0465"/>
    <w:rsid w:val="000A191A"/>
    <w:rsid w:val="000A7359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F3284"/>
    <w:rsid w:val="000F67D1"/>
    <w:rsid w:val="0010694B"/>
    <w:rsid w:val="00112689"/>
    <w:rsid w:val="00114979"/>
    <w:rsid w:val="00130C99"/>
    <w:rsid w:val="0013353A"/>
    <w:rsid w:val="001335E2"/>
    <w:rsid w:val="0013709E"/>
    <w:rsid w:val="00142D49"/>
    <w:rsid w:val="00142F7F"/>
    <w:rsid w:val="00150780"/>
    <w:rsid w:val="00150C8E"/>
    <w:rsid w:val="001562A4"/>
    <w:rsid w:val="0015718D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2CF"/>
    <w:rsid w:val="001C73DF"/>
    <w:rsid w:val="001D124C"/>
    <w:rsid w:val="001D3553"/>
    <w:rsid w:val="001D704F"/>
    <w:rsid w:val="001E7244"/>
    <w:rsid w:val="001F73F4"/>
    <w:rsid w:val="001F7FEA"/>
    <w:rsid w:val="0020119C"/>
    <w:rsid w:val="00203B30"/>
    <w:rsid w:val="00204033"/>
    <w:rsid w:val="00204321"/>
    <w:rsid w:val="00212ADF"/>
    <w:rsid w:val="002151FC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5E6C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823A9"/>
    <w:rsid w:val="003834D8"/>
    <w:rsid w:val="003844FE"/>
    <w:rsid w:val="00385656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01FBE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0A05"/>
    <w:rsid w:val="00516D18"/>
    <w:rsid w:val="005210C4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E0131"/>
    <w:rsid w:val="005F221E"/>
    <w:rsid w:val="005F36DD"/>
    <w:rsid w:val="006018E3"/>
    <w:rsid w:val="00603362"/>
    <w:rsid w:val="006110D5"/>
    <w:rsid w:val="00615325"/>
    <w:rsid w:val="00621BE6"/>
    <w:rsid w:val="00621E48"/>
    <w:rsid w:val="00623F3D"/>
    <w:rsid w:val="00624A8A"/>
    <w:rsid w:val="006359BF"/>
    <w:rsid w:val="00640AD7"/>
    <w:rsid w:val="00641CE2"/>
    <w:rsid w:val="006421AB"/>
    <w:rsid w:val="00651375"/>
    <w:rsid w:val="0066304F"/>
    <w:rsid w:val="00664611"/>
    <w:rsid w:val="00682D1E"/>
    <w:rsid w:val="00684E5D"/>
    <w:rsid w:val="006865A7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23C2"/>
    <w:rsid w:val="00702FB6"/>
    <w:rsid w:val="00703177"/>
    <w:rsid w:val="007052E7"/>
    <w:rsid w:val="00706BAE"/>
    <w:rsid w:val="00707500"/>
    <w:rsid w:val="0071168C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A4433"/>
    <w:rsid w:val="007B4874"/>
    <w:rsid w:val="007B7D6F"/>
    <w:rsid w:val="007C0219"/>
    <w:rsid w:val="007C763F"/>
    <w:rsid w:val="007D6AAD"/>
    <w:rsid w:val="007E0C25"/>
    <w:rsid w:val="007E40D3"/>
    <w:rsid w:val="007F044C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7BC6"/>
    <w:rsid w:val="00840C1D"/>
    <w:rsid w:val="008454F8"/>
    <w:rsid w:val="00847D26"/>
    <w:rsid w:val="008512FA"/>
    <w:rsid w:val="00852F0E"/>
    <w:rsid w:val="008572F6"/>
    <w:rsid w:val="00873559"/>
    <w:rsid w:val="00875118"/>
    <w:rsid w:val="008772A0"/>
    <w:rsid w:val="00886119"/>
    <w:rsid w:val="00895C94"/>
    <w:rsid w:val="008969AB"/>
    <w:rsid w:val="008A0C05"/>
    <w:rsid w:val="008A1D70"/>
    <w:rsid w:val="008B3FD4"/>
    <w:rsid w:val="008B4238"/>
    <w:rsid w:val="008B7B93"/>
    <w:rsid w:val="008C6687"/>
    <w:rsid w:val="008C711A"/>
    <w:rsid w:val="008C7AA0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216C8"/>
    <w:rsid w:val="00927D8E"/>
    <w:rsid w:val="00930FB9"/>
    <w:rsid w:val="00957839"/>
    <w:rsid w:val="00972D9F"/>
    <w:rsid w:val="009876AF"/>
    <w:rsid w:val="009A08F6"/>
    <w:rsid w:val="009A2B46"/>
    <w:rsid w:val="009A43AB"/>
    <w:rsid w:val="009A781B"/>
    <w:rsid w:val="009A7B37"/>
    <w:rsid w:val="009B09A5"/>
    <w:rsid w:val="009B43DC"/>
    <w:rsid w:val="009B4F5D"/>
    <w:rsid w:val="009B7C64"/>
    <w:rsid w:val="009C612D"/>
    <w:rsid w:val="009C6DE1"/>
    <w:rsid w:val="009C7262"/>
    <w:rsid w:val="009D3EDC"/>
    <w:rsid w:val="009D4119"/>
    <w:rsid w:val="009D79BB"/>
    <w:rsid w:val="00A00246"/>
    <w:rsid w:val="00A00C5C"/>
    <w:rsid w:val="00A13CF2"/>
    <w:rsid w:val="00A25ACD"/>
    <w:rsid w:val="00A33918"/>
    <w:rsid w:val="00A33A98"/>
    <w:rsid w:val="00A35208"/>
    <w:rsid w:val="00A37420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4AD"/>
    <w:rsid w:val="00AC66CC"/>
    <w:rsid w:val="00AD2964"/>
    <w:rsid w:val="00AD4051"/>
    <w:rsid w:val="00AD6259"/>
    <w:rsid w:val="00AD6917"/>
    <w:rsid w:val="00AE5533"/>
    <w:rsid w:val="00AE5EA3"/>
    <w:rsid w:val="00AE6ED8"/>
    <w:rsid w:val="00AF0B07"/>
    <w:rsid w:val="00AF4B8D"/>
    <w:rsid w:val="00B0755A"/>
    <w:rsid w:val="00B0793E"/>
    <w:rsid w:val="00B10C2C"/>
    <w:rsid w:val="00B11A7E"/>
    <w:rsid w:val="00B24492"/>
    <w:rsid w:val="00B26E47"/>
    <w:rsid w:val="00B35D24"/>
    <w:rsid w:val="00B436F8"/>
    <w:rsid w:val="00B5070F"/>
    <w:rsid w:val="00B5447E"/>
    <w:rsid w:val="00B5535C"/>
    <w:rsid w:val="00B60534"/>
    <w:rsid w:val="00B653A8"/>
    <w:rsid w:val="00B701EB"/>
    <w:rsid w:val="00B73A67"/>
    <w:rsid w:val="00B810F3"/>
    <w:rsid w:val="00B86152"/>
    <w:rsid w:val="00B87BB8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4D5E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1AA8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36C0"/>
    <w:rsid w:val="00D67AE9"/>
    <w:rsid w:val="00D7698C"/>
    <w:rsid w:val="00D8278E"/>
    <w:rsid w:val="00D84128"/>
    <w:rsid w:val="00D85B75"/>
    <w:rsid w:val="00D864CC"/>
    <w:rsid w:val="00D94541"/>
    <w:rsid w:val="00D95555"/>
    <w:rsid w:val="00DA033A"/>
    <w:rsid w:val="00DA4D69"/>
    <w:rsid w:val="00DB76E7"/>
    <w:rsid w:val="00DC2E32"/>
    <w:rsid w:val="00DC634C"/>
    <w:rsid w:val="00DD482D"/>
    <w:rsid w:val="00DD5A94"/>
    <w:rsid w:val="00DE7954"/>
    <w:rsid w:val="00DF1A44"/>
    <w:rsid w:val="00DF3361"/>
    <w:rsid w:val="00E00931"/>
    <w:rsid w:val="00E015D3"/>
    <w:rsid w:val="00E03642"/>
    <w:rsid w:val="00E14153"/>
    <w:rsid w:val="00E22F2D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743F7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4EC4"/>
    <w:rsid w:val="00F31F91"/>
    <w:rsid w:val="00F34B73"/>
    <w:rsid w:val="00F34BC7"/>
    <w:rsid w:val="00F34F1F"/>
    <w:rsid w:val="00F40D32"/>
    <w:rsid w:val="00F46830"/>
    <w:rsid w:val="00F678BB"/>
    <w:rsid w:val="00F74BDE"/>
    <w:rsid w:val="00F776C5"/>
    <w:rsid w:val="00F802D0"/>
    <w:rsid w:val="00F82487"/>
    <w:rsid w:val="00F85C2D"/>
    <w:rsid w:val="00F86BA0"/>
    <w:rsid w:val="00F870DA"/>
    <w:rsid w:val="00F94C27"/>
    <w:rsid w:val="00FA0647"/>
    <w:rsid w:val="00FA34F8"/>
    <w:rsid w:val="00FA7271"/>
    <w:rsid w:val="00FB03E6"/>
    <w:rsid w:val="00FB472D"/>
    <w:rsid w:val="00FC0B92"/>
    <w:rsid w:val="00FC6504"/>
    <w:rsid w:val="00FD4E3B"/>
    <w:rsid w:val="00FD51DB"/>
    <w:rsid w:val="00FE2482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BACDB-A30B-4C99-93A4-99331A0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23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42001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6</cp:revision>
  <cp:lastPrinted>2017-11-20T07:32:00Z</cp:lastPrinted>
  <dcterms:created xsi:type="dcterms:W3CDTF">2019-10-09T18:37:00Z</dcterms:created>
  <dcterms:modified xsi:type="dcterms:W3CDTF">2019-10-14T15:05:00Z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